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</w:t>
      </w:r>
    </w:p>
    <w:p>
      <w:r>
        <w:t>Dilution-dependent antibacterial mechanisms of honey: a systematic review and cross-study quantitative evidence synthesis</w:t>
      </w:r>
    </w:p>
    <w:p/>
    <w:p>
      <w:r>
        <w:rPr>
          <w:b/>
        </w:rPr>
        <w:t xml:space="preserve">Table 1. </w:t>
      </w:r>
      <w:r>
        <w:t>Median MIC (% honey) by organism group, percentage-unit studies.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Organism group</w:t>
            </w:r>
          </w:p>
        </w:tc>
        <w:tc>
          <w:tcPr>
            <w:tcW w:type="dxa" w:w="4320"/>
          </w:tcPr>
          <w:p>
            <w:r>
              <w:t>Median MIC (%)</w:t>
            </w:r>
          </w:p>
        </w:tc>
      </w:tr>
      <w:tr>
        <w:tc>
          <w:tcPr>
            <w:tcW w:type="dxa" w:w="4320"/>
          </w:tcPr>
          <w:p>
            <w:r>
              <w:t>Burkholderia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L. monocytogenes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S. mutans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Mycobacterium</w:t>
            </w:r>
          </w:p>
        </w:tc>
        <w:tc>
          <w:tcPr>
            <w:tcW w:type="dxa" w:w="4320"/>
          </w:tcPr>
          <w:p>
            <w:r>
              <w:t>11.25</w:t>
            </w:r>
          </w:p>
        </w:tc>
      </w:tr>
      <w:tr>
        <w:tc>
          <w:tcPr>
            <w:tcW w:type="dxa" w:w="4320"/>
          </w:tcPr>
          <w:p>
            <w:r>
              <w:t>S. epidermidis</w:t>
            </w:r>
          </w:p>
        </w:tc>
        <w:tc>
          <w:tcPr>
            <w:tcW w:type="dxa" w:w="4320"/>
          </w:tcPr>
          <w:p>
            <w:r>
              <w:t>11.25</w:t>
            </w:r>
          </w:p>
        </w:tc>
      </w:tr>
      <w:tr>
        <w:tc>
          <w:tcPr>
            <w:tcW w:type="dxa" w:w="4320"/>
          </w:tcPr>
          <w:p>
            <w:r>
              <w:t>MSSA</w:t>
            </w:r>
          </w:p>
        </w:tc>
        <w:tc>
          <w:tcPr>
            <w:tcW w:type="dxa" w:w="4320"/>
          </w:tcPr>
          <w:p>
            <w:r>
              <w:t>12.25</w:t>
            </w:r>
          </w:p>
        </w:tc>
      </w:tr>
      <w:tr>
        <w:tc>
          <w:tcPr>
            <w:tcW w:type="dxa" w:w="4320"/>
          </w:tcPr>
          <w:p>
            <w:r>
              <w:t>S. aureus</w:t>
            </w:r>
          </w:p>
        </w:tc>
        <w:tc>
          <w:tcPr>
            <w:tcW w:type="dxa" w:w="4320"/>
          </w:tcPr>
          <w:p>
            <w:r>
              <w:t>12.5</w:t>
            </w:r>
          </w:p>
        </w:tc>
      </w:tr>
      <w:tr>
        <w:tc>
          <w:tcPr>
            <w:tcW w:type="dxa" w:w="4320"/>
          </w:tcPr>
          <w:p>
            <w:r>
              <w:t>MRSA</w:t>
            </w:r>
          </w:p>
        </w:tc>
        <w:tc>
          <w:tcPr>
            <w:tcW w:type="dxa" w:w="4320"/>
          </w:tcPr>
          <w:p>
            <w:r>
              <w:t>12.5</w:t>
            </w:r>
          </w:p>
        </w:tc>
      </w:tr>
      <w:tr>
        <w:tc>
          <w:tcPr>
            <w:tcW w:type="dxa" w:w="4320"/>
          </w:tcPr>
          <w:p>
            <w:r>
              <w:t>H. pylori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B. cereus/Bacillus</w:t>
            </w:r>
          </w:p>
        </w:tc>
        <w:tc>
          <w:tcPr>
            <w:tcW w:type="dxa" w:w="4320"/>
          </w:tcPr>
          <w:p>
            <w:r>
              <w:t>16.5</w:t>
            </w:r>
          </w:p>
        </w:tc>
      </w:tr>
      <w:tr>
        <w:tc>
          <w:tcPr>
            <w:tcW w:type="dxa" w:w="4320"/>
          </w:tcPr>
          <w:p>
            <w:r>
              <w:t>K. pneumoniae</w:t>
            </w:r>
          </w:p>
        </w:tc>
        <w:tc>
          <w:tcPr>
            <w:tcW w:type="dxa" w:w="4320"/>
          </w:tcPr>
          <w:p>
            <w:r>
              <w:t>17.75</w:t>
            </w:r>
          </w:p>
        </w:tc>
      </w:tr>
      <w:tr>
        <w:tc>
          <w:tcPr>
            <w:tcW w:type="dxa" w:w="4320"/>
          </w:tcPr>
          <w:p>
            <w:r>
              <w:t>E. coli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Enterobacter</w:t>
            </w:r>
          </w:p>
        </w:tc>
        <w:tc>
          <w:tcPr>
            <w:tcW w:type="dxa" w:w="4320"/>
          </w:tcPr>
          <w:p>
            <w:r>
              <w:t>21.0</w:t>
            </w:r>
          </w:p>
        </w:tc>
      </w:tr>
      <w:tr>
        <w:tc>
          <w:tcPr>
            <w:tcW w:type="dxa" w:w="4320"/>
          </w:tcPr>
          <w:p>
            <w:r>
              <w:t>P. aeruginosa</w:t>
            </w:r>
          </w:p>
        </w:tc>
        <w:tc>
          <w:tcPr>
            <w:tcW w:type="dxa" w:w="4320"/>
          </w:tcPr>
          <w:p>
            <w:r>
              <w:t>21.0</w:t>
            </w:r>
          </w:p>
        </w:tc>
      </w:tr>
    </w:tbl>
    <w:p>
      <w:r>
        <w:rPr>
          <w:sz w:val="18"/>
        </w:rPr>
        <w:t>Note: MIC, minimum inhibitory concentration; MRSA/MSSA, methicillin-resistant/susceptible S. aureus. Values are medians of extracted MIC rows restricted to percentage-unit bases.</w:t>
      </w:r>
    </w:p>
    <w:p/>
    <w:p>
      <w:r>
        <w:rPr>
          <w:b/>
        </w:rPr>
        <w:t xml:space="preserve">Table 2. </w:t>
      </w:r>
      <w:r>
        <w:t>Paired evidence for mechanistic contrasts.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Contrast</w:t>
            </w:r>
          </w:p>
        </w:tc>
        <w:tc>
          <w:tcPr>
            <w:tcW w:type="dxa" w:w="1728"/>
          </w:tcPr>
          <w:p>
            <w:r>
              <w:t>n pairs/obs</w:t>
            </w:r>
          </w:p>
        </w:tc>
        <w:tc>
          <w:tcPr>
            <w:tcW w:type="dxa" w:w="1728"/>
          </w:tcPr>
          <w:p>
            <w:r>
              <w:t>n studies</w:t>
            </w:r>
          </w:p>
        </w:tc>
        <w:tc>
          <w:tcPr>
            <w:tcW w:type="dxa" w:w="1728"/>
          </w:tcPr>
          <w:p>
            <w:r>
              <w:t>Effect</w:t>
            </w:r>
          </w:p>
        </w:tc>
        <w:tc>
          <w:tcPr>
            <w:tcW w:type="dxa" w:w="1728"/>
          </w:tcPr>
          <w:p>
            <w:r>
              <w:t>p value</w:t>
            </w:r>
          </w:p>
        </w:tc>
      </w:tr>
      <w:tr>
        <w:tc>
          <w:tcPr>
            <w:tcW w:type="dxa" w:w="1728"/>
          </w:tcPr>
          <w:p>
            <w:r>
              <w:t>Natural vs artificial honey (potency ratio)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16/21 pairs &gt; 1; median 1.38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</w:tr>
      <w:tr>
        <w:tc>
          <w:tcPr>
            <w:tcW w:type="dxa" w:w="1728"/>
          </w:tcPr>
          <w:p>
            <w:r>
              <w:t>Natural vs artificial honey, zone difference (mm)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median +0.6 mm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</w:tr>
      <w:tr>
        <w:tc>
          <w:tcPr>
            <w:tcW w:type="dxa" w:w="1728"/>
          </w:tcPr>
          <w:p>
            <w:r>
              <w:t>Catalase residual activity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median 92% retained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Activity vs concentration (series)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10/10 positive; median rho = 1.00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MGO vs MIC (within-study)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rho = -0.52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>pH vs inhibition zone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rho = -0.52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</w:tbl>
    <w:p>
      <w:r>
        <w:rPr>
          <w:sz w:val="18"/>
        </w:rPr>
        <w:t>Note: Potency ratio &gt; 1 indicates greater natural-honey activity (zone: natural/artificial; MIC: artificial/natural). MGO, methylglyoxal; MIC, minimum inhibitory concentration.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