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a simulation benchmark of stratification approaches</w:t>
      </w:r>
    </w:p>
    <w:p>
      <w:r>
        <w:br w:type="page"/>
      </w:r>
    </w:p>
    <w:p>
      <w:pPr>
        <w:pStyle w:val="Heading1"/>
      </w:pPr>
      <w:r>
        <w:t>Abstract</w:t>
      </w:r>
    </w:p>
    <w:p>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W excess showed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S7 reports absolute-deviation scores using distance from the empirical null mean (e.g. residual C1 abs-AUC 0.473); these did not rescue discrimination, indicating that the weak ROC performance is structural rather than an artifact of the one-sided lower-tail threshold.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