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IONE: Coherence diagnostics for hidden effect modification in individual participant data meta-analysis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Practical recipes for real individual participant data</w:t>
      </w:r>
    </w:p>
    <w:p>
      <w:pPr>
        <w:spacing w:line="480" w:lineRule="auto"/>
      </w:pPr>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 (n ~ 2000)</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random-effects bias at n = 500</w:t>
            </w:r>
          </w:p>
        </w:tc>
        <w:tc>
          <w:tcPr>
            <w:tcW w:type="dxa" w:w="2160"/>
          </w:tcPr>
          <w:p>
            <w:pPr>
              <w:spacing w:line="276" w:lineRule="auto"/>
            </w:pPr>
            <w:r>
              <w:t>Relative reduction partly reflects large crude bias; residual models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Prognostic-score or predicted-probability stratification (1A)</w:t>
            </w:r>
          </w:p>
        </w:tc>
        <w:tc>
          <w:tcPr>
            <w:tcW w:type="dxa" w:w="2160"/>
          </w:tcPr>
          <w:p>
            <w:pPr>
              <w:spacing w:line="276" w:lineRule="auto"/>
            </w:pPr>
            <w:r>
              <w:t>Largest relative reductions and smallest absolute RE biases at n = 10 000 once finite-sample error was small</w:t>
            </w:r>
          </w:p>
        </w:tc>
        <w:tc>
          <w:tcPr>
            <w:tcW w:type="dxa" w:w="2160"/>
          </w:tcPr>
          <w:p>
            <w:pPr>
              <w:spacing w:line="276" w:lineRule="auto"/>
            </w:pPr>
            <w:r>
              <w:t>The residual method remained at its absolute bias floor, so relative reduction alone is not enough to rank methods; choose the metric that matches the clinical question</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 in real IPD</w:t>
            </w:r>
          </w:p>
        </w:tc>
        <w:tc>
          <w:tcPr>
            <w:tcW w:type="dxa" w:w="2160"/>
          </w:tcPr>
          <w:p>
            <w:pPr>
              <w:spacing w:line="276" w:lineRule="auto"/>
            </w:pPr>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pPr>
              <w:spacing w:line="276" w:lineRule="auto"/>
            </w:pPr>
            <w:r>
              <w:t>Empirically centred on a no-modification null; use one of the three recipes described in the Methods</w:t>
            </w:r>
          </w:p>
        </w:tc>
        <w:tc>
          <w:tcPr>
            <w:tcW w:type="dxa" w:w="2160"/>
          </w:tcPr>
          <w:p>
            <w:pPr>
              <w:spacing w:line="276" w:lineRule="auto"/>
            </w:pPr>
            <w:r>
              <w:t>Do not use as a standalone inferential test; thresholds are method-specific and DGM-conditional; cross-check at least two nulls</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 doi: 10.1136/bmj.d549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 doi: 10.25122/jml-2019-0120</w:t>
      </w:r>
    </w:p>
    <w:p>
      <w:pPr>
        <w:spacing w:line="480" w:lineRule="auto"/>
      </w:pPr>
      <w:r>
        <w:t>11. Charig CR, Webb DR, Payne SR, Wickham JE. Comparison of treatment of renal calculi by open surgery, percutaneous nephrolithotomy, and extracorporeal shockwave lithotripsy. BMJ. 1986;292(6524):879–882. doi: 10.1136/bmj.292.6524.879</w:t>
      </w:r>
    </w:p>
    <w:p>
      <w:pPr>
        <w:spacing w:line="480" w:lineRule="auto"/>
      </w:pPr>
      <w:r>
        <w:t>12. Bickel PJ, Hammel EA, O'Connell JW. Sex bias in graduate admissions: data from Berkeley. Science. 1975;187(4175):398–404. doi: 10.1126/science.187.4175.398</w:t>
      </w:r>
    </w:p>
    <w:p>
      <w:pPr>
        <w:spacing w:line="480" w:lineRule="auto"/>
      </w:pPr>
      <w:r>
        <w:t>13. von Kügelgen J, Gresele L, Schölkopf B. Simpson's paradox in Covid-19 case fatality rates: a mediation analysis of age-related causal effects. IEEE Trans Artif Intell. 2021;2(1):18–27. doi: 10.1109/TAI.2021.3073088</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pPr>
        <w:spacing w:line="480" w:lineRule="auto"/>
      </w:pPr>
      <w:r>
        <w:t>15. Appleton DR, French NR, Vanderpump MP. Ignoring a covariate: an example of Simpson's paradox. Am Stat. 1996;50(4):340–341. doi: 10.1080/00031305.1996.10473563</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