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Coherence diagnostics for hidden effect modification in IPD meta-analysis.</w:t>
      </w:r>
    </w:p>
    <w:p>
      <w:pPr>
        <w:pStyle w:val="ListBullet"/>
      </w:pPr>
      <w:r>
        <w:t>A simulation benchmark compares seven data-driven stratification methods.</w:t>
      </w:r>
    </w:p>
    <w:p>
      <w:pPr>
        <w:pStyle w:val="ListBullet"/>
      </w:pPr>
      <w:r>
        <w:t>Residual-based stratification gives best subgroup agreement and ATE bias reduction.</w:t>
      </w:r>
    </w:p>
    <w:p>
      <w:pPr>
        <w:pStyle w:val="ListBullet"/>
      </w:pPr>
      <w:r>
        <w:t>The two coherence indices are sensitivity flags, not standalone statistical tests.</w:t>
      </w:r>
    </w:p>
    <w:p>
      <w:pPr>
        <w:pStyle w:val="ListBullet"/>
      </w:pPr>
      <w:r>
        <w:t>All code, data and results are reproducible from a public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