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pPr>
        <w:spacing w:line="480" w:lineRule="auto"/>
      </w:pPr>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pPr>
        <w:spacing w:line="480" w:lineRule="auto"/>
      </w:pPr>
      <w:r/>
      <w:r>
        <w:rPr>
          <w:b/>
        </w:rPr>
        <w:t>Conclusions:</w:t>
      </w:r>
      <w:r>
        <w:t xml:space="preserve"> IONE is a descriptive sensitivity tool, not an inferential test for hidden effect modification. It should be reported alongside conventional meta-analytic models and covariate adjustment.</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confirm that the lower-tail null threshold does not match the direction of the alternative DGM shift for those methods.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SMMR readers</w:t>
      </w:r>
    </w:p>
    <w:p>
      <w:pPr>
        <w:spacing w:line="480" w:lineRule="auto"/>
      </w:pPr>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