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Coherence diagnostics for hidden effect modification in individual participant data meta-analysis: IONE (Incoherence-Oriented Neutralisation and Extraction) and a simulation benchmark of stratification approaches</w:t>
      </w:r>
    </w:p>
    <w:p>
      <w:r>
        <w:br w:type="page"/>
      </w:r>
    </w:p>
    <w:p>
      <w:pPr>
        <w:pStyle w:val="Heading1"/>
      </w:pPr>
      <w:r>
        <w:t>Abstract</w:t>
      </w:r>
    </w:p>
    <w:p>
      <w:r/>
      <w:r>
        <w:rPr>
          <w:b/>
        </w:rPr>
        <w:t>Background:</w:t>
      </w:r>
      <w:r>
        <w:t xml:space="preserve"> In individual participant data (IPD) meta-analysis, marginal effect estimates can be biased by hidden effect modifiers. We introduce two coherence diagnostics, C1 and W, and present a reproducible simulation benchmark of seven stratification approaches.</w:t>
      </w:r>
    </w:p>
    <w:p>
      <w:r/>
      <w:r>
        <w:rPr>
          <w:b/>
        </w:rPr>
        <w:t>Methods:</w:t>
      </w:r>
      <w:r>
        <w:t xml:space="preserve"> We simulated an IPD meta-analysis with 10 studies and n=2000 participants, binary treatment and outcome, measured covariates carrying traces of an unmeasured modifier, and study-level variation in baseline risk and treatment prevalence. Seven methods—two outcome-informed, two outcome-free, propensity-score, prognostic-score and Gaussian-mixture stratification—were compared; stratum-specific risk differences were synthesised with fixed-effect and DerSimonian-Laird random-effects meta-analysis. We report ARI, C1, W and ATE bias reduction, calibrating the diagnostics against empirical null distributions.</w:t>
      </w:r>
    </w:p>
    <w:p>
      <w:r/>
      <w:r>
        <w:rPr>
          <w:b/>
        </w:rPr>
        <w:t>Results:</w:t>
      </w:r>
      <w:r>
        <w:t xml:space="preserve"> At n=2000 and K=5, C1 and </w:t>
      </w:r>
      <m:oMath>
        <m:sSub>
          <m:e>
            <m:r>
              <m:t xml:space="preserve">W</m:t>
            </m:r>
          </m:e>
          <m:sub>
            <m:r>
              <m:t xml:space="preserve">est</m:t>
            </m:r>
          </m:sub>
        </m:sSub>
      </m:oMath>
      <w:r>
        <w:t xml:space="preserve"> discriminated the alternative from the empirical null only at chance level (C1 AUC 0.460-0.545; W AUC 0.427-0.561). The residual-based method achieved the largest random-effects ATE bias reduction (from 0.01865 to 0.00816; relative reduction 0.563). Its absolute bias plateaued near 0.00824 (n=500), 0.00852 (n=2000) and 0.00864 (n=10 000), indicating a structural bias floor that persists as sample size increases.</w:t>
      </w:r>
    </w:p>
    <w:p>
      <w:r/>
      <w:r>
        <w:rPr>
          <w:b/>
        </w:rPr>
        <w:t>Conclusions:</w:t>
      </w:r>
      <w:r>
        <w:t xml:space="preserve"> IONE is a descriptive sensitivity framework, not an inferential test for hidden effect modification. The benchmark shows that data-driven stratification can reduce marginal ATE bias when measured covariates carry strong traces of hidden effect modification, but C1 and W must be interpreted relative to method-specific empirical nulls and are not standalone decision criteria.</w:t>
      </w:r>
    </w:p>
    <w:p>
      <w:r/>
      <w:r>
        <w:rPr>
          <w:b/>
        </w:rPr>
        <w:t>Keywords:</w:t>
      </w:r>
      <w:r>
        <w:t xml:space="preserve"> individual participant data meta-analysis; evidence synthesis; heterogeneity; hidden effect modification; stratification; simulation</w:t>
      </w:r>
    </w:p>
    <w:p>
      <w:r>
        <w:br w:type="page"/>
      </w:r>
    </w:p>
    <w:p>
      <w:pPr>
        <w:pStyle w:val="Heading1"/>
      </w:pPr>
      <w:r>
        <w:t>1. Introduction</w:t>
      </w:r>
    </w:p>
    <w:p>
      <w:r>
        <w:t xml:space="preserve">Meta-analysis pools treatment-effect estimates across studies and is central to evidence-based medicine </w:t>
      </w:r>
      <w:r>
        <w:rPr>
          <w:vertAlign w:val="superscript"/>
        </w:rPr>
        <w:t>1</w:t>
      </w:r>
      <w:r>
        <w:t xml:space="preserve">. Individual participant data (IPD) meta-analysis preserves participant-level covariates and can increase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mislead when effect modifiers are unmeasured or omitted </w:t>
      </w:r>
      <w:r>
        <w:rPr>
          <w:vertAlign w:val="superscript"/>
        </w:rPr>
        <w:t>7</w:t>
      </w:r>
      <w:r/>
      <w:r>
        <w:rPr>
          <w:vertAlign w:val="superscript"/>
        </w:rPr>
        <w:t>8</w:t>
      </w:r>
      <w:r>
        <w:t xml:space="preserve">. When the pooled population contains subgroups with different treatment effects, the marginal effect can reverse within population strata, producing Simpson-type paradoxes </w:t>
      </w:r>
      <w:r>
        <w:rPr>
          <w:vertAlign w:val="superscript"/>
        </w:rPr>
        <w:t>9</w:t>
      </w:r>
      <w:r/>
      <w:r>
        <w:rPr>
          <w:vertAlign w:val="superscript"/>
        </w:rPr>
        <w:t>10</w:t>
      </w:r>
      <w:r>
        <w:t>.</w:t>
      </w:r>
    </w:p>
    <w:p>
      <w:r>
        <w:t>Heterogeneity in IPD meta-analysis is usually investigated through subgroup analyses, meta-regression or one-stage mixed models. These approaches explain variation with measured covariates and study-level factors, and stratification by study is the standard way to share baseline risk and treatment prevalence. They do not, however, test whether the pooled participants themselves form internally homogeneous subpopulations with respect to treatment effect. We therefore frame Incoherence-Oriented Neutralisation and Extraction (IONE) as an exploratory sensitivity tool: it flags when a marginal summary may be fragile and separates the pooled IPD into more homogeneous subgroups using multivariate patterns in measured variables. The goal is not to recover hidden variables but to reduce misleading marginal summaries when the IPD contains hidden effect modification.</w:t>
      </w:r>
    </w:p>
    <w:p>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 adjust for measured confounders but do not detect unmeasured population structure. We operationalise IONE through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conditional average treatment effect (CATE) variance explained by the stratification. Stratum-specific risk differences are synthesised with fixed-effect or DerSimonian-Laird random-effects meta-analysis. C1 measures the coherence of a stratification after it has been formed; W is a ratio whose denominator is the overall CATE variance and is therefore unstable when the modification signal is weak.</w:t>
      </w:r>
    </w:p>
    <w:p>
      <w:r>
        <w:t>Because the finite-sample distributions of discovered-stratum risk differences depend on the unknown joint distribution of unmeasured modifiers and measured covariates, closed-form theoretical comparisons of the competing stratification methods are not available. We therefore use an ADEMP-based simulation benchmark to quantify relative performance and the operating characteristics of C1 and W.</w:t>
      </w:r>
    </w:p>
    <w:p>
      <w:pPr>
        <w:pStyle w:val="Heading1"/>
      </w:pPr>
      <w:r>
        <w:t>2. Methods</w:t>
      </w:r>
    </w:p>
    <w:p>
      <w:r>
        <w:t xml:space="preserve">This simulation study follows the ADEMP framework </w:t>
      </w:r>
      <w:r>
        <w:rPr>
          <w:vertAlign w:val="superscript"/>
        </w:rPr>
        <w:t>16</w:t>
      </w:r>
      <w:r>
        <w:t>.</w:t>
      </w:r>
    </w:p>
    <w:p>
      <w:pPr>
        <w:pStyle w:val="Heading2"/>
      </w:pPr>
      <w:r>
        <w:t>Aims</w:t>
      </w:r>
    </w:p>
    <w:p>
      <w:r>
        <w:t>Quantify average treatment effect (ATE) bias reduction from fixed-effect and DerSimonian-Laird random-effects synthesis of stratum-specific risk differences; compare outcome-informed IONE methods with outcome-free and established comparators; assess the diagnostic discrimination of C1 and W against an empirical null; and identify data-generating conditions under which the diagnostics are most and least informative.</w:t>
      </w:r>
    </w:p>
    <w:p>
      <w:pPr>
        <w:pStyle w:val="Heading2"/>
      </w:pPr>
      <w:r>
        <w:t>IPD data-generating mechanism</w:t>
      </w:r>
    </w:p>
    <w:p>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pPr>
      <w:r>
        <w:t>Stratification methods</w:t>
      </w:r>
    </w:p>
    <w:p>
      <w:r/>
      <w:r>
        <w:rPr>
          <w:b/>
        </w:rPr>
        <w:t>Proposed Family 1 (outcome-informed).</w:t>
      </w:r>
      <w:r>
        <w:t xml:space="preserve"> Method 1A: predicted probability of Y from logistic Y~X, stratified by quantiles. Method 1B: absolute residual from the same model. Method 1C: K-fold cross-validated predictions before stratification.</w:t>
      </w:r>
    </w:p>
    <w:p>
      <w:r/>
      <w:r>
        <w:rPr>
          <w:b/>
        </w:rPr>
        <w:t>Proposed Family 2 (outcome-free).</w:t>
      </w:r>
      <w:r>
        <w:t xml:space="preserve"> Method 2A: first principal component of standardised X. Method 2B: K-means on standardised X.</w:t>
      </w:r>
    </w:p>
    <w:p>
      <w:r/>
      <w:r>
        <w:rPr>
          <w:b/>
        </w:rPr>
        <w:t>Comparators and baselines.</w:t>
      </w:r>
      <w:r>
        <w:t xml:space="preserve"> Propensity-score quintiles </w:t>
      </w:r>
      <w:r>
        <w:rPr>
          <w:vertAlign w:val="superscript"/>
        </w:rPr>
        <w:t>17</w:t>
      </w:r>
      <w:r>
        <w:t xml:space="preserve">, Gaussian mixture model on X </w:t>
      </w:r>
      <w:r>
        <w:rPr>
          <w:vertAlign w:val="superscript"/>
        </w:rPr>
        <w:t>18</w:t>
      </w:r>
      <w:r>
        <w:t xml:space="preserve">, prognostic-score stratification (untreated-only Y~X) </w:t>
      </w:r>
      <w:r>
        <w:rPr>
          <w:vertAlign w:val="superscript"/>
        </w:rPr>
        <w:t>19</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pPr>
      <w:r>
        <w:t>Synthesis of stratum-specific effects</w:t>
      </w:r>
    </w:p>
    <w:p>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Stratum-specific pooling</w:t>
      </w:r>
      <w:r>
        <w:t xml:space="preserve"> means summarising effects within more homogeneous subgroups identified from the pooled IPD.</w:t>
      </w:r>
    </w:p>
    <w:p>
      <w:r>
        <w:t xml:space="preserve">Several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w:t>
      </w:r>
    </w:p>
    <w:p>
      <w:pPr>
        <w:pStyle w:val="Heading2"/>
      </w:pPr>
      <w:r>
        <w:t>Study-level meta-analysis benchmark</w:t>
      </w:r>
    </w:p>
    <w:p>
      <w:r>
        <w:t>To contextualise within-study and between-study heterogeneity, we also formed a study-level summary: we pooled crude study-specific risk differences with a DerSimonian-Laird random-effects meta-analysis and compared its ATE bias with the IPD stratified analyses. This benchmark shows how much heterogeneity is captured by conventional study-level pooling before any covariate-based stratification is applied.</w:t>
      </w:r>
    </w:p>
    <w:p>
      <w:pPr>
        <w:pStyle w:val="Heading2"/>
      </w:pPr>
      <w:r>
        <w:t>Evaluation metrics</w:t>
      </w:r>
    </w:p>
    <w:p>
      <w:pPr>
        <w:pStyle w:val="Heading3"/>
      </w:pPr>
      <w:r>
        <w:t>Formal definitions</w:t>
      </w:r>
    </w:p>
    <w:p>
      <w:r>
        <w:t xml:space="preserve">For a stratification with K strata, let theta_k be the stratum-specific log odds ratio and </w:t>
      </w:r>
      <m:oMath>
        <m:sSup>
          <m:e>
            <m:r>
              <m:t xml:space="preserve">τ</m:t>
            </m:r>
          </m:e>
          <m:sup>
            <m:r>
              <m:t xml:space="preserve">2</m:t>
            </m:r>
          </m:sup>
        </m:sSup>
      </m:oMath>
      <w:r>
        <w:t xml:space="preserve"> the DerSimonian-Laird between-stratum variance. Let v_w denote a typical within-stratum sampling variance. Then</w:t>
      </w:r>
    </w:p>
    <w:p>
      <m:oMath>
        <m:r>
          <m:t xml:space="preserve">C1 = 1 - </m:t>
        </m:r>
        <m:sSup>
          <m:e>
            <m:r>
              <m:t xml:space="preserve">I</m:t>
            </m:r>
          </m:e>
          <m:sup>
            <m:r>
              <m:t xml:space="preserve">2</m:t>
            </m:r>
          </m:sup>
        </m:sSup>
        <m:r>
          <m:t xml:space="preserve"> = 1 - </m:t>
        </m:r>
        <m:f>
          <m:num>
            <m:sSup>
              <m:e>
                <m:r>
                  <m:t xml:space="preserve">τ</m:t>
                </m:r>
              </m:e>
              <m:sup>
                <m:r>
                  <m:t xml:space="preserve">2</m:t>
                </m:r>
              </m:sup>
            </m:sSup>
          </m:num>
          <m:den>
            <m:sSup>
              <m:e>
                <m:r>
                  <m:t xml:space="preserve">τ</m:t>
                </m:r>
              </m:e>
              <m:sup>
                <m:r>
                  <m:t xml:space="preserve">2</m:t>
                </m:r>
              </m:sup>
            </m:sSup>
            <m:r>
              <m:t xml:space="preserve"> + </m:t>
            </m:r>
            <m:sSub>
              <m:e>
                <m:r>
                  <m:t xml:space="preserve">v</m:t>
                </m:r>
              </m:e>
              <m:sub>
                <m:r>
                  <m:t xml:space="preserve">w</m:t>
                </m:r>
              </m:sub>
            </m:sSub>
          </m:den>
        </m:f>
      </m:oMath>
      <w:r>
        <w:t xml:space="preserve">,</w:t>
      </w:r>
    </w:p>
    <w:p>
      <w:r>
        <w:t>where lower C1 indicates greater between-stratum heterogeneity of stratum-specific log odds ratios. For estimated individual CATEs tau(X_i), let tau_k be the mean CATE in stratum k and tau the overall mean. The proportion of total CATE variance explained by the stratification is</w:t>
      </w:r>
    </w:p>
    <w:p>
      <m:oMath>
        <m:r>
          <m:t xml:space="preserve">W = </m:t>
        </m:r>
        <m:f>
          <m:num>
            <m:sSub>
              <m:e>
                <m:r>
                  <m:t xml:space="preserve">Σ</m:t>
                </m:r>
              </m:e>
              <m:sub>
                <m:r>
                  <m:t xml:space="preserve">k</m:t>
                </m:r>
              </m:sub>
            </m:sSub>
            <m:r>
              <m:t xml:space="preserve"> </m:t>
            </m:r>
            <m:sSub>
              <m:e>
                <m:r>
                  <m:t xml:space="preserve">n</m:t>
                </m:r>
              </m:e>
              <m:sub>
                <m:r>
                  <m:t xml:space="preserve">k</m:t>
                </m:r>
              </m:sub>
            </m:sSub>
            <m:r>
              <m:t xml:space="preserve"> </m:t>
            </m:r>
            <m:sSup>
              <m:e>
                <m:r>
                  <m:t xml:space="preserve">(</m:t>
                </m:r>
                <m:sSub>
                  <m:e>
                    <m:r>
                      <m:t xml:space="preserve">τ</m:t>
                    </m:r>
                  </m:e>
                  <m:sub>
                    <m:r>
                      <m:t xml:space="preserve">k</m:t>
                    </m:r>
                  </m:sub>
                </m:sSub>
                <m:r>
                  <m:t xml:space="preserve"> - </m:t>
                </m:r>
                <m:r>
                  <m:t xml:space="preserve">τ</m:t>
                </m:r>
                <m:r>
                  <m:t xml:space="preserve">)</m:t>
                </m:r>
              </m:e>
              <m:sup>
                <m:r>
                  <m:t xml:space="preserve">2</m:t>
                </m:r>
              </m:sup>
            </m:sSup>
          </m:num>
          <m:den>
            <m:sSub>
              <m:e>
                <m:r>
                  <m:t xml:space="preserve">Σ</m:t>
                </m:r>
              </m:e>
              <m:sub>
                <m:r>
                  <m:t xml:space="preserve">i</m:t>
                </m:r>
              </m:sub>
            </m:sSub>
            <m:r>
              <m:t xml:space="preserve"> </m:t>
            </m:r>
            <m:sSup>
              <m:e>
                <m:r>
                  <m:t xml:space="preserve">(</m:t>
                </m:r>
                <m:sSub>
                  <m:e>
                    <m:r>
                      <m:t xml:space="preserve">τ</m:t>
                    </m:r>
                  </m:e>
                  <m:sub>
                    <m:r>
                      <m:t xml:space="preserve">i</m:t>
                    </m:r>
                  </m:sub>
                </m:sSub>
                <m:r>
                  <m:t xml:space="preserve"> - </m:t>
                </m:r>
                <m:r>
                  <m:t xml:space="preserve">τ</m:t>
                </m:r>
                <m:r>
                  <m:t xml:space="preserve">)</m:t>
                </m:r>
              </m:e>
              <m:sup>
                <m:r>
                  <m:t xml:space="preserve">2</m:t>
                </m:r>
              </m:sup>
            </m:sSup>
          </m:den>
        </m:f>
      </m:oMath>
      <w:r>
        <w:t xml:space="preserve">,</w:t>
      </w:r>
    </w:p>
    <w:p>
      <w:r>
        <w:t>where the numerator is the between-stratum variance weighted by stratum size and the denominator is the total variance of estimated individual CATEs. Both C1 and W are descriptive indices; they flag incoherence but are not inferential tests for hidden effect modification.</w:t>
      </w:r>
    </w:p>
    <w:p>
      <w:r/>
      <w:r>
        <w:rPr>
          <w:b/>
        </w:rPr>
        <w:t>ARI</w:t>
      </w:r>
      <w:r>
        <w:t xml:space="preserve"> </w:t>
      </w:r>
      <w:r>
        <w:rPr>
          <w:vertAlign w:val="superscript"/>
        </w:rPr>
        <w:t>20</w:t>
      </w:r>
      <w:r>
        <w:t>: agreement between estimated strata and an operational approximation of the true-Z partition, corrected for chance. Because the true hidden modifier is multidimensional and has no unique clinical representation, the reference partition was formed by k-means clustering of standardised Z-space into K strata. ARI therefore measures how well a method recovers this k-means approximation, not recovery of a clinically validated true subgroup structure. Values near zero indicate chance agreement; the Oracle and true-CATE-quantile references provide computational upper bounds relative to this approximation.</w:t>
      </w:r>
    </w:p>
    <w:p>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Lower C1 indicates greater between-stratum heterogeneity of stratum-specific log odds ratios. Because C1 is computed on the log-odds scale while ATE bias is on the risk-difference scale, it is an indirect diagnostic of bias; it summarises the coherence of the selected partition, not the magnitude of hidden modification.</w:t>
      </w:r>
    </w:p>
    <w:p>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conditional average treatment effect (CATE) variance explained by the stratification, i.e. the between-stratum CATE variance divided by the overall CATE variance. </w:t>
      </w:r>
      <m:oMath>
        <m:sSub>
          <m:e>
            <m:r>
              <m:t xml:space="preserve">W</m:t>
            </m:r>
          </m:e>
          <m:sub>
            <m:r>
              <m:t xml:space="preserve">est</m:t>
            </m:r>
          </m:sub>
        </m:sSub>
      </m:oMath>
      <w:r>
        <w:t xml:space="preserve"> requires a correctly specified individual-level outcome model. Because W is a ratio whose denominator is the overall CATE variance, it can be unstable when effect modification is weak (small denominators) and should be interpreted relative to its empirical null distribution. We therefore report null-mean-centred excess values: C1_excess = max(null mean C1 - C1, 0), W_excess = max(W - null mean W, 0) and proportion metrics such as eta^2 = between-stratum CATE variance / overall CATE variance as an alternative scale-free summary.</w:t>
      </w:r>
    </w:p>
    <w:p>
      <w:r/>
      <w:r>
        <w:rPr>
          <w:b/>
        </w:rPr>
        <w:t>ATE bias reduction:</w:t>
      </w:r>
      <w:r>
        <w:t xml:space="preserve"> absolute differences between crude, stratified and random-effects estimates, plus relative ratios. Monte Carlo SE and 95% CI accompany every mean.</w:t>
      </w:r>
    </w:p>
    <w:p>
      <w:pPr>
        <w:pStyle w:val="Heading2"/>
      </w:pPr>
      <w:r>
        <w:t>Empirical null distribution and null-centred reporting</w:t>
      </w:r>
    </w:p>
    <w:p>
      <w:r>
        <w:t xml:space="preserve">We ran 200 additional replications under the primary data-generating mechanism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the Supplementary Material. Values below the 5th percentile (C1) or above the 95th percentile (</w:t>
      </w:r>
      <m:oMath>
        <m:sSub>
          <m:e>
            <m:r>
              <m:t xml:space="preserve">W</m:t>
            </m:r>
          </m:e>
          <m:sub>
            <m:r>
              <m:t xml:space="preserve">est</m:t>
            </m:r>
          </m:sub>
        </m:sSub>
      </m:oMath>
      <w:r>
        <w:t xml:space="preserve">) provide method-specific thresholds for flagging incoherence. In addition, we computed excess diagnostics by subtracting the empirical null mean, producing more stable summaries than raw W and C1.</w:t>
      </w:r>
    </w:p>
    <w:p>
      <w:pPr>
        <w:pStyle w:val="Heading2"/>
      </w:pPr>
      <m:oMath>
        <m:sSub>
          <m:e>
            <m:r>
              <m:t xml:space="preserve">W</m:t>
            </m:r>
          </m:e>
          <m:sub>
            <m:r>
              <m:t xml:space="preserve">est</m:t>
            </m:r>
          </m:sub>
        </m:sSub>
      </m:oMath>
      <w:r>
        <w:t xml:space="preserve"> outcome-model misspecification sensitivity</w:t>
      </w:r>
    </w:p>
    <w:p>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reported in the Supplementary Material.</w:t>
      </w:r>
    </w:p>
    <w:p>
      <w:pPr>
        <w:pStyle w:val="Heading2"/>
      </w:pPr>
      <w:r>
        <w:t>Diagnostic calibration using the empirical null</w:t>
      </w:r>
    </w:p>
    <w:p>
      <w:r>
        <w:t xml:space="preserve">We used the 200 null replications together with the 50 alternative replications of the primary scenario to compute, for each method, the area under the ROC curve (AUC) and the true-positive rate (TPR) at a method-specific 5% false-positive rate (C1 below its null 5th percentile, </w:t>
      </w:r>
      <m:oMath>
        <m:sSub>
          <m:e>
            <m:r>
              <m:t xml:space="preserve">W</m:t>
            </m:r>
          </m:e>
          <m:sub>
            <m:r>
              <m:t xml:space="preserve">est</m:t>
            </m:r>
          </m:sub>
        </m:sSub>
      </m:oMath>
      <w:r>
        <w:t xml:space="preserve"> above its null 95th percentile). Because the null distribution preserves confounding and covariate traces but removes true effect modification, these metrics quantify how well the diagnostics distinguish absence from presence of the simulated modification. AUC near 0.5 and low TPR indicate that the diagnostics do not provide reliable classification on their own in the primary scenario; for some methods C1 AUC fell below 0.5, indicating that the alternative DGM shifted C1 in the opposite direction to the lower-tail hypothesis, so the one-sided threshold is not universally valid.</w:t>
      </w:r>
    </w:p>
    <w:p>
      <w:pPr>
        <w:pStyle w:val="Heading2"/>
      </w:pPr>
      <w:r>
        <w:t>True-CATE-quantile oracle reference</w:t>
      </w:r>
    </w:p>
    <w:p>
      <w:r>
        <w:t>As a reference for sorting performance, we computed a true-CATE-quantile oracle that assigns participants to strata by the true conditional average treatment effect. This oracle is not a practical method (it uses the true CATE) but it provides an upper bound on how well any covariate-based stratification could separate heterogeneous subgroups. We include the oracle in sensitivity summaries to bound optimism and to illustrate the gap between empirical methods and the true sorting benchmark.</w:t>
      </w:r>
    </w:p>
    <w:p>
      <w:pPr>
        <w:pStyle w:val="Heading2"/>
      </w:pPr>
      <w:r>
        <w:t>Semi-synthetic illustrations</w:t>
      </w:r>
    </w:p>
    <w:p>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age-vaccination stratification table in the source publication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pPr>
      <w:r>
        <w:t>Computational implementation</w:t>
      </w:r>
    </w:p>
    <w:p>
      <w:r>
        <w:t xml:space="preserve">All simulations and manuscript generation were implemented in Python 3.11 using NumPy 2.x, SciPy, scikit-learn 1.5, pandas, statsmodels and python-docx. Pseudo-random numbers were generated with </w:t>
      </w:r>
      <w:r>
        <w:rPr>
          <w:rFonts w:ascii="Courier New" w:hAnsi="Courier New"/>
        </w:rPr>
        <w:t>numpy.random.default_rng</w:t>
      </w:r>
      <w:r>
        <w:t xml:space="preserve">, with independent seeds for each replication and scenario stored in the repository scripts and </w:t>
      </w:r>
      <w:r>
        <w:rPr>
          <w:rFonts w:ascii="Courier New" w:hAnsi="Courier New"/>
        </w:rPr>
        <w:t>results/summary/</w:t>
      </w:r>
      <w:r>
        <w:t xml:space="preserve"> metadata. Stratification used quantile-based equal-frequency bins, k-means clustering (scikit-learn, 10 random initializations, maximum 300 iterations) and Gaussian mixture models (scikit-learn, full covariance, 10 EM initializations, maximum 100 iterations). Logistic regressions were fit with </w:t>
      </w:r>
      <w:r>
        <w:rPr>
          <w:rFonts w:ascii="Courier New" w:hAnsi="Courier New"/>
        </w:rPr>
        <w:t>scikit-learn.linear_model.LogisticRegression</w:t>
      </w:r>
      <w:r>
        <w:t xml:space="preserve"> (L2 penalty, C=1.0, lbfgs solver, maximum 1000 iterations). DerSimonian-Laird random-effects summaries used </w:t>
      </w:r>
      <w:r>
        <w:rPr>
          <w:rFonts w:ascii="Courier New" w:hAnsi="Courier New"/>
        </w:rPr>
        <w:t>statsmodels.stats.meta_analysis</w:t>
      </w:r>
      <w:r>
        <w:t xml:space="preserve">. The primary scenario required approximately 5–10 minutes of wall-clock time on a single modern CPU core; the full benchmark—primary scenario, strata/sample-size/Z-to-X/Z-to-Y sensitivities, 200-replication empirical null, </w:t>
      </w:r>
      <m:oMath>
        <m:sSub>
          <m:e>
            <m:r>
              <m:t xml:space="preserve">W</m:t>
            </m:r>
          </m:e>
          <m:sub>
            <m:r>
              <m:t xml:space="preserve">est</m:t>
            </m:r>
          </m:sub>
        </m:sSub>
      </m:oMath>
      <w:r>
        <w:t xml:space="preserve"> misspecification and semi-synthetic illustrations—completed in approximately 2–3 hours on a single core. Exact dependency versions are pinned in </w:t>
      </w:r>
      <w:r>
        <w:rPr>
          <w:rFonts w:ascii="Courier New" w:hAnsi="Courier New"/>
        </w:rPr>
        <w:t>requirements-lock.txt</w:t>
      </w:r>
      <w:r>
        <w:t xml:space="preserve"> and the code commit used for the submission package is recorded in </w:t>
      </w:r>
      <w:r>
        <w:rPr>
          <w:rFonts w:ascii="Courier New" w:hAnsi="Courier New"/>
        </w:rPr>
        <w:t>results/commit_hash.txt</w:t>
      </w:r>
      <w:r>
        <w:t>.</w:t>
      </w:r>
    </w:p>
    <w:p>
      <w:pPr>
        <w:pStyle w:val="Heading2"/>
      </w:pPr>
      <w:r>
        <w:t>Reporting and reproducibility</w:t>
      </w:r>
    </w:p>
    <w:p>
      <w:r>
        <w:t xml:space="preserve">The design followed ADEMP </w:t>
      </w:r>
      <w:r>
        <w:rPr>
          <w:vertAlign w:val="superscript"/>
        </w:rPr>
        <w:t>16</w:t>
      </w:r>
      <w:r>
        <w:t xml:space="preserve">; checklists are in Additional files 2 and 3. The pipeline is version-controlled and every manuscript number is read from repository CSV outputs. </w:t>
      </w:r>
      <w:r>
        <w:rPr>
          <w:rFonts w:ascii="Courier New" w:hAnsi="Courier New"/>
        </w:rPr>
        <w:t>generate_summary.py</w:t>
      </w:r>
      <w:r>
        <w:t xml:space="preserve">, </w:t>
      </w:r>
      <w:r>
        <w:rPr>
          <w:rFonts w:ascii="Courier New" w:hAnsi="Courier New"/>
        </w:rPr>
        <w:t>generate_rsm_tables.py</w:t>
      </w:r>
      <w:r>
        <w:t xml:space="preserve"> and </w:t>
      </w:r>
      <w:r>
        <w:rPr>
          <w:rFonts w:ascii="Courier New" w:hAnsi="Courier New"/>
        </w:rPr>
        <w:t>generate_ione_rsm_v3.py</w:t>
      </w:r>
      <w:r>
        <w:t xml:space="preserve"> regenerate all results, figures, tables and submission files in a Python 3.11 environment with the pinned dependencies.</w:t>
      </w:r>
    </w:p>
    <w:p>
      <w:pPr>
        <w:pStyle w:val="Heading1"/>
      </w:pPr>
      <w:r>
        <w:t>3. Results</w:t>
      </w:r>
    </w:p>
    <w:p>
      <w:pPr>
        <w:pStyle w:val="Heading2"/>
      </w:pPr>
      <w:r>
        <w:t>Primary IPD scenario</w:t>
      </w:r>
    </w:p>
    <w:p>
      <w:r>
        <w:t xml:space="preserve">Table 1 reports the primary scenario (n=2000, 10 studies, K=5). Agreement with the operational k-means true-Z partition was modest (Oracle ARI 0.372; best non-Oracle 1B_residual 0.032). Oracle and residual methods had the highest </w:t>
      </w:r>
      <m:oMath>
        <m:sSub>
          <m:e>
            <m:r>
              <m:t xml:space="preserve">W</m:t>
            </m:r>
          </m:e>
          <m:sub>
            <m:r>
              <m:t xml:space="preserve">true</m:t>
            </m:r>
          </m:sub>
        </m:sSub>
      </m:oMath>
      <w:r>
        <w:t xml:space="preserve"> values, but C1 was high across most methods (even random stratification yielded C1 0.883), indicating that C1 alone did not separate useful from chance stratifications; </w:t>
      </w:r>
      <m:oMath>
        <m:sSub>
          <m:e>
            <m:r>
              <m:t xml:space="preserve">W</m:t>
            </m:r>
          </m:e>
          <m:sub>
            <m:r>
              <m:t xml:space="preserve">true</m:t>
            </m:r>
          </m:sub>
        </m:sSub>
      </m:oMath>
      <w:r>
        <w:t xml:space="preserve"> separated the methods better.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ATE bias reduction came from 1B_residual: crude bias 0.01865, stratified bias 0.01345 (relative reduction 0.279) and random-effects bias 0.00816 (relative reduction 0.563). For comparison, random-effects pooling across the true study identifiers (i.e. a study-level meta-analysis) gave an absolute ATE bias of 0.01568 (reduction 0.00296 from crude 0.01865). Pooling strata with DerSimonian-Laird improved over the fixed-effect summary, indicating that stratum-specific effects should be allowed to vary. Null-centred excess diagnostics for the best method were modest (C1_excess 0.054; </w:t>
      </w:r>
      <m:oMath>
        <m:sSub>
          <m:e>
            <m:r>
              <m:t xml:space="preserve">W</m:t>
            </m:r>
          </m:e>
          <m:sub>
            <m:r>
              <m:t xml:space="preserve">est</m:t>
            </m:r>
          </m:sub>
        </m:sSub>
      </m:oMath>
      <w:r>
        <w:t xml:space="preserve">_excess 0.036).</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m:oMath>
              <m:sSub>
                <m:e>
                  <m:r>
                    <m:t xml:space="preserve">W</m:t>
                  </m:r>
                </m:e>
                <m:sub>
                  <m:r>
                    <m:t xml:space="preserve">true</m:t>
                  </m:r>
                </m:sub>
              </m:sSub>
            </m:oMath>
          </w:p>
        </w:tc>
        <w:tc>
          <w:tcPr>
            <w:tcW w:type="dxa" w:w="785"/>
          </w:tcPr>
          <w:p>
            <m:oMath>
              <m:sSub>
                <m:e>
                  <m:r>
                    <m:t xml:space="preserve">W</m:t>
                  </m:r>
                </m:e>
                <m:sub>
                  <m:r>
                    <m:t xml:space="preserve">est</m:t>
                  </m:r>
                </m:sub>
              </m:sSub>
            </m:oMath>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 reduction strat</w:t>
            </w:r>
          </w:p>
        </w:tc>
        <w:tc>
          <w:tcPr>
            <w:tcW w:type="dxa" w:w="785"/>
          </w:tcPr>
          <w:p>
            <w:r>
              <w:rPr>
                <w:b/>
              </w:rPr>
              <w:t>Rel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0.01865</w:t>
            </w:r>
          </w:p>
        </w:tc>
        <w:tc>
          <w:tcPr>
            <w:tcW w:type="dxa" w:w="785"/>
          </w:tcPr>
          <w:p>
            <w:r>
              <w:t>0.01345</w:t>
            </w:r>
          </w:p>
        </w:tc>
        <w:tc>
          <w:tcPr>
            <w:tcW w:type="dxa" w:w="785"/>
          </w:tcPr>
          <w:p>
            <w:r>
              <w:t>0.00816</w:t>
            </w:r>
          </w:p>
        </w:tc>
        <w:tc>
          <w:tcPr>
            <w:tcW w:type="dxa" w:w="785"/>
          </w:tcPr>
          <w:p>
            <w:r>
              <w:t>0.279</w:t>
            </w:r>
          </w:p>
        </w:tc>
        <w:tc>
          <w:tcPr>
            <w:tcW w:type="dxa" w:w="785"/>
          </w:tcPr>
          <w:p>
            <w:r>
              <w:t>0.563</w:t>
            </w:r>
          </w:p>
        </w:tc>
        <w:tc>
          <w:tcPr>
            <w:tcW w:type="dxa" w:w="785"/>
          </w:tcPr>
          <w:p>
            <w:r>
              <w:t>0.044</w:t>
            </w:r>
          </w:p>
        </w:tc>
      </w:tr>
      <w:tr>
        <w:tc>
          <w:tcPr>
            <w:tcW w:type="dxa" w:w="785"/>
          </w:tcPr>
          <w:p>
            <w:r>
              <w:t>1C_cv_decision</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0.01865</w:t>
            </w:r>
          </w:p>
        </w:tc>
        <w:tc>
          <w:tcPr>
            <w:tcW w:type="dxa" w:w="785"/>
          </w:tcPr>
          <w:p>
            <w:r>
              <w:t>0.01883</w:t>
            </w:r>
          </w:p>
        </w:tc>
        <w:tc>
          <w:tcPr>
            <w:tcW w:type="dxa" w:w="785"/>
          </w:tcPr>
          <w:p>
            <w:r>
              <w:t>0.01769</w:t>
            </w:r>
          </w:p>
        </w:tc>
        <w:tc>
          <w:tcPr>
            <w:tcW w:type="dxa" w:w="785"/>
          </w:tcPr>
          <w:p>
            <w:r>
              <w:t>-0.010</w:t>
            </w:r>
          </w:p>
        </w:tc>
        <w:tc>
          <w:tcPr>
            <w:tcW w:type="dxa" w:w="785"/>
          </w:tcPr>
          <w:p>
            <w:r>
              <w:t>0.051</w:t>
            </w:r>
          </w:p>
        </w:tc>
        <w:tc>
          <w:tcPr>
            <w:tcW w:type="dxa" w:w="785"/>
          </w:tcPr>
          <w:p>
            <w:r>
              <w:t>0.130</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0.01865</w:t>
            </w:r>
          </w:p>
        </w:tc>
        <w:tc>
          <w:tcPr>
            <w:tcW w:type="dxa" w:w="785"/>
          </w:tcPr>
          <w:p>
            <w:r>
              <w:t>0.01796</w:t>
            </w:r>
          </w:p>
        </w:tc>
        <w:tc>
          <w:tcPr>
            <w:tcW w:type="dxa" w:w="785"/>
          </w:tcPr>
          <w:p>
            <w:r>
              <w:t>0.01651</w:t>
            </w:r>
          </w:p>
        </w:tc>
        <w:tc>
          <w:tcPr>
            <w:tcW w:type="dxa" w:w="785"/>
          </w:tcPr>
          <w:p>
            <w:r>
              <w:t>0.037</w:t>
            </w:r>
          </w:p>
        </w:tc>
        <w:tc>
          <w:tcPr>
            <w:tcW w:type="dxa" w:w="785"/>
          </w:tcPr>
          <w:p>
            <w:r>
              <w:t>0.115</w:t>
            </w:r>
          </w:p>
        </w:tc>
        <w:tc>
          <w:tcPr>
            <w:tcW w:type="dxa" w:w="785"/>
          </w:tcPr>
          <w:p>
            <w:r>
              <w:t>0.146</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0.01865</w:t>
            </w:r>
          </w:p>
        </w:tc>
        <w:tc>
          <w:tcPr>
            <w:tcW w:type="dxa" w:w="785"/>
          </w:tcPr>
          <w:p>
            <w:r>
              <w:t>0.01797</w:t>
            </w:r>
          </w:p>
        </w:tc>
        <w:tc>
          <w:tcPr>
            <w:tcW w:type="dxa" w:w="785"/>
          </w:tcPr>
          <w:p>
            <w:r>
              <w:t>0.01686</w:t>
            </w:r>
          </w:p>
        </w:tc>
        <w:tc>
          <w:tcPr>
            <w:tcW w:type="dxa" w:w="785"/>
          </w:tcPr>
          <w:p>
            <w:r>
              <w:t>0.036</w:t>
            </w:r>
          </w:p>
        </w:tc>
        <w:tc>
          <w:tcPr>
            <w:tcW w:type="dxa" w:w="785"/>
          </w:tcPr>
          <w:p>
            <w:r>
              <w:t>0.096</w:t>
            </w:r>
          </w:p>
        </w:tc>
        <w:tc>
          <w:tcPr>
            <w:tcW w:type="dxa" w:w="785"/>
          </w:tcPr>
          <w:p>
            <w:r>
              <w:t>0.127</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0.01865</w:t>
            </w:r>
          </w:p>
        </w:tc>
        <w:tc>
          <w:tcPr>
            <w:tcW w:type="dxa" w:w="785"/>
          </w:tcPr>
          <w:p>
            <w:r>
              <w:t>0.01816</w:t>
            </w:r>
          </w:p>
        </w:tc>
        <w:tc>
          <w:tcPr>
            <w:tcW w:type="dxa" w:w="785"/>
          </w:tcPr>
          <w:p>
            <w:r>
              <w:t>0.01754</w:t>
            </w:r>
          </w:p>
        </w:tc>
        <w:tc>
          <w:tcPr>
            <w:tcW w:type="dxa" w:w="785"/>
          </w:tcPr>
          <w:p>
            <w:r>
              <w:t>0.026</w:t>
            </w:r>
          </w:p>
        </w:tc>
        <w:tc>
          <w:tcPr>
            <w:tcW w:type="dxa" w:w="785"/>
          </w:tcPr>
          <w:p>
            <w:r>
              <w:t>0.059</w:t>
            </w:r>
          </w:p>
        </w:tc>
        <w:tc>
          <w:tcPr>
            <w:tcW w:type="dxa" w:w="785"/>
          </w:tcPr>
          <w:p>
            <w:r>
              <w:t>0.144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0.01865</w:t>
            </w:r>
          </w:p>
        </w:tc>
        <w:tc>
          <w:tcPr>
            <w:tcW w:type="dxa" w:w="785"/>
          </w:tcPr>
          <w:p>
            <w:r>
              <w:t>0.01849</w:t>
            </w:r>
          </w:p>
        </w:tc>
        <w:tc>
          <w:tcPr>
            <w:tcW w:type="dxa" w:w="785"/>
          </w:tcPr>
          <w:p>
            <w:r>
              <w:t>0.01430</w:t>
            </w:r>
          </w:p>
        </w:tc>
        <w:tc>
          <w:tcPr>
            <w:tcW w:type="dxa" w:w="785"/>
          </w:tcPr>
          <w:p>
            <w:r>
              <w:t>0.009</w:t>
            </w:r>
          </w:p>
        </w:tc>
        <w:tc>
          <w:tcPr>
            <w:tcW w:type="dxa" w:w="785"/>
          </w:tcPr>
          <w:p>
            <w:r>
              <w:t>0.233</w:t>
            </w:r>
          </w:p>
        </w:tc>
        <w:tc>
          <w:tcPr>
            <w:tcW w:type="dxa" w:w="785"/>
          </w:tcPr>
          <w:p>
            <w:r>
              <w:t>0.141</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0.01865</w:t>
            </w:r>
          </w:p>
        </w:tc>
        <w:tc>
          <w:tcPr>
            <w:tcW w:type="dxa" w:w="785"/>
          </w:tcPr>
          <w:p>
            <w:r>
              <w:t>0.01901</w:t>
            </w:r>
          </w:p>
        </w:tc>
        <w:tc>
          <w:tcPr>
            <w:tcW w:type="dxa" w:w="785"/>
          </w:tcPr>
          <w:p>
            <w:r>
              <w:t>0.01651</w:t>
            </w:r>
          </w:p>
        </w:tc>
        <w:tc>
          <w:tcPr>
            <w:tcW w:type="dxa" w:w="785"/>
          </w:tcPr>
          <w:p>
            <w:r>
              <w:t>-0.019</w:t>
            </w:r>
          </w:p>
        </w:tc>
        <w:tc>
          <w:tcPr>
            <w:tcW w:type="dxa" w:w="785"/>
          </w:tcPr>
          <w:p>
            <w:r>
              <w:t>0.115</w:t>
            </w:r>
          </w:p>
        </w:tc>
        <w:tc>
          <w:tcPr>
            <w:tcW w:type="dxa" w:w="785"/>
          </w:tcPr>
          <w:p>
            <w:r>
              <w:t>0.124</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0.01865</w:t>
            </w:r>
          </w:p>
        </w:tc>
        <w:tc>
          <w:tcPr>
            <w:tcW w:type="dxa" w:w="785"/>
          </w:tcPr>
          <w:p>
            <w:r>
              <w:t>0.01620</w:t>
            </w:r>
          </w:p>
        </w:tc>
        <w:tc>
          <w:tcPr>
            <w:tcW w:type="dxa" w:w="785"/>
          </w:tcPr>
          <w:p>
            <w:r>
              <w:t>0.01266</w:t>
            </w:r>
          </w:p>
        </w:tc>
        <w:tc>
          <w:tcPr>
            <w:tcW w:type="dxa" w:w="785"/>
          </w:tcPr>
          <w:p>
            <w:r>
              <w:t>0.131</w:t>
            </w:r>
          </w:p>
        </w:tc>
        <w:tc>
          <w:tcPr>
            <w:tcW w:type="dxa" w:w="785"/>
          </w:tcPr>
          <w:p>
            <w:r>
              <w:t>0.321</w:t>
            </w:r>
          </w:p>
        </w:tc>
        <w:tc>
          <w:tcPr>
            <w:tcW w:type="dxa" w:w="785"/>
          </w:tcPr>
          <w:p>
            <w:r>
              <w:t>0.169</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0.01865</w:t>
            </w:r>
          </w:p>
        </w:tc>
        <w:tc>
          <w:tcPr>
            <w:tcW w:type="dxa" w:w="785"/>
          </w:tcPr>
          <w:p>
            <w:r>
              <w:t>0.01847</w:t>
            </w:r>
          </w:p>
        </w:tc>
        <w:tc>
          <w:tcPr>
            <w:tcW w:type="dxa" w:w="785"/>
          </w:tcPr>
          <w:p>
            <w:r>
              <w:t>0.01901</w:t>
            </w:r>
          </w:p>
        </w:tc>
        <w:tc>
          <w:tcPr>
            <w:tcW w:type="dxa" w:w="785"/>
          </w:tcPr>
          <w:p>
            <w:r>
              <w:t>0.010</w:t>
            </w:r>
          </w:p>
        </w:tc>
        <w:tc>
          <w:tcPr>
            <w:tcW w:type="dxa" w:w="785"/>
          </w:tcPr>
          <w:p>
            <w:r>
              <w:t>-0.019</w:t>
            </w:r>
          </w:p>
        </w:tc>
        <w:tc>
          <w:tcPr>
            <w:tcW w:type="dxa" w:w="785"/>
          </w:tcPr>
          <w:p>
            <w:r>
              <w:t>0.117</w:t>
            </w:r>
          </w:p>
        </w:tc>
      </w:tr>
    </w:tbl>
    <w:p>
      <w:pPr>
        <w:spacing w:before="240"/>
      </w:pPr>
      <w:r/>
      <w:r>
        <w:rPr>
          <w:i/>
        </w:rPr>
        <w:t>Table 1. Primary IPD scenario (n=2000, 10 studies, K=5): means over 50 simulations.</w:t>
      </w:r>
      <w:r/>
    </w:p>
    <w:p>
      <w:r>
        <w:t>Figure 1 visualises the primary scenario across methods.</w:t>
      </w:r>
    </w:p>
    <w:p>
      <w:pPr>
        <w:spacing w:after="120"/>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jc w:val="center"/>
      </w:pPr>
      <w:r>
        <w:rPr>
          <w:b/>
        </w:rPr>
        <w:t>Figure 1. Primary IPD scenario: (a) ARI, (b) C1/W coherence diagnostics, and (c) ATE bias reduction by method.</w:t>
      </w:r>
    </w:p>
    <w:p>
      <w:pPr>
        <w:pStyle w:val="Heading2"/>
      </w:pPr>
      <w:r>
        <w:t>Sensitivity to the number of strata</w:t>
      </w:r>
    </w:p>
    <w:p>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jc w:val="center"/>
      </w:pPr>
      <w:r>
        <w:rPr>
          <w:b/>
        </w:rPr>
        <w:t>Figure 2. Random-effects ATE bias reduction as the number of strata varies.</w:t>
      </w:r>
    </w:p>
    <w:p>
      <w:pPr>
        <w:pStyle w:val="Heading2"/>
      </w:pPr>
      <w:r>
        <w:t>Semi-synthetic illustrations</w:t>
      </w:r>
    </w:p>
    <w:p>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after stratification, yet separating the data into the known age strata remained difficult. The low event rate also produced occasional near-zero or zero-event cells, which illustrates the limits of outcome-informed stratification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m:oMath>
              <m:sSub>
                <m:e>
                  <m:r>
                    <m:t xml:space="preserve">W</m:t>
                  </m:r>
                </m:e>
                <m:sub>
                  <m:r>
                    <m:t xml:space="preserve">est</m:t>
                  </m:r>
                </m:sub>
              </m:sSub>
            </m:oMath>
          </w:p>
        </w:tc>
        <w:tc>
          <w:tcPr>
            <w:tcW w:type="dxa" w:w="1234"/>
          </w:tcPr>
          <w:p>
            <w:r>
              <w:rPr>
                <w:b/>
              </w:rPr>
              <w:t>Bias reduction</w:t>
            </w:r>
          </w:p>
        </w:tc>
      </w:tr>
      <w:tr>
        <w:tc>
          <w:tcPr>
            <w:tcW w:type="dxa" w:w="1234"/>
          </w:tcPr>
          <w:p>
            <w:r>
              <w:t>COVID-19 CFR</w:t>
            </w:r>
          </w:p>
        </w:tc>
        <w:tc>
          <w:tcPr>
            <w:tcW w:type="dxa" w:w="1234"/>
          </w:tcPr>
          <w:p>
            <w:r>
              <w:t>1B_residual</w:t>
            </w:r>
          </w:p>
        </w:tc>
        <w:tc>
          <w:tcPr>
            <w:tcW w:type="dxa" w:w="1234"/>
          </w:tcPr>
          <w:p>
            <w:r>
              <w:t>3</w:t>
            </w:r>
          </w:p>
        </w:tc>
        <w:tc>
          <w:tcPr>
            <w:tcW w:type="dxa" w:w="1234"/>
          </w:tcPr>
          <w:p>
            <w:r>
              <w:t>0.065</w:t>
            </w:r>
          </w:p>
        </w:tc>
        <w:tc>
          <w:tcPr>
            <w:tcW w:type="dxa" w:w="1234"/>
          </w:tcPr>
          <w:p>
            <w:r>
              <w:t>1.000</w:t>
            </w:r>
          </w:p>
        </w:tc>
        <w:tc>
          <w:tcPr>
            <w:tcW w:type="dxa" w:w="1234"/>
          </w:tcPr>
          <w:p>
            <w:r>
              <w:t>0.035</w:t>
            </w:r>
          </w:p>
        </w:tc>
        <w:tc>
          <w:tcPr>
            <w:tcW w:type="dxa" w:w="1234"/>
          </w:tcPr>
          <w:p>
            <w:r>
              <w:t>0.017</w:t>
            </w:r>
          </w:p>
        </w:tc>
      </w:tr>
      <w:tr>
        <w:tc>
          <w:tcPr>
            <w:tcW w:type="dxa" w:w="1234"/>
          </w:tcPr>
          <w:p>
            <w:r>
              <w:t>Israel Vaccine</w:t>
            </w:r>
          </w:p>
        </w:tc>
        <w:tc>
          <w:tcPr>
            <w:tcW w:type="dxa" w:w="1234"/>
          </w:tcPr>
          <w:p>
            <w:r>
              <w:t>2B_clustering</w:t>
            </w:r>
          </w:p>
        </w:tc>
        <w:tc>
          <w:tcPr>
            <w:tcW w:type="dxa" w:w="1234"/>
          </w:tcPr>
          <w:p>
            <w:r>
              <w:t>2</w:t>
            </w:r>
          </w:p>
        </w:tc>
        <w:tc>
          <w:tcPr>
            <w:tcW w:type="dxa" w:w="1234"/>
          </w:tcPr>
          <w:p>
            <w:r>
              <w:t>0.644</w:t>
            </w:r>
          </w:p>
        </w:tc>
        <w:tc>
          <w:tcPr>
            <w:tcW w:type="dxa" w:w="1234"/>
          </w:tcPr>
          <w:p>
            <w:r>
              <w:t>1.000</w:t>
            </w:r>
          </w:p>
        </w:tc>
        <w:tc>
          <w:tcPr>
            <w:tcW w:type="dxa" w:w="1234"/>
          </w:tcPr>
          <w:p>
            <w:r>
              <w:t>0.557</w:t>
            </w:r>
          </w:p>
        </w:tc>
        <w:tc>
          <w:tcPr>
            <w:tcW w:type="dxa" w:w="1234"/>
          </w:tcPr>
          <w:p>
            <w:r>
              <w:t>0.001</w:t>
            </w:r>
          </w:p>
        </w:tc>
      </w:tr>
      <w:tr>
        <w:tc>
          <w:tcPr>
            <w:tcW w:type="dxa" w:w="1234"/>
          </w:tcPr>
          <w:p>
            <w:r>
              <w:t>Kidney Stone</w:t>
            </w:r>
          </w:p>
        </w:tc>
        <w:tc>
          <w:tcPr>
            <w:tcW w:type="dxa" w:w="1234"/>
          </w:tcPr>
          <w:p>
            <w:r>
              <w:t>GMM</w:t>
            </w:r>
          </w:p>
        </w:tc>
        <w:tc>
          <w:tcPr>
            <w:tcW w:type="dxa" w:w="1234"/>
          </w:tcPr>
          <w:p>
            <w:r>
              <w:t>2</w:t>
            </w:r>
          </w:p>
        </w:tc>
        <w:tc>
          <w:tcPr>
            <w:tcW w:type="dxa" w:w="1234"/>
          </w:tcPr>
          <w:p>
            <w:r>
              <w:t>0.966</w:t>
            </w:r>
          </w:p>
        </w:tc>
        <w:tc>
          <w:tcPr>
            <w:tcW w:type="dxa" w:w="1234"/>
          </w:tcPr>
          <w:p>
            <w:r>
              <w:t>0.830</w:t>
            </w:r>
          </w:p>
        </w:tc>
        <w:tc>
          <w:tcPr>
            <w:tcW w:type="dxa" w:w="1234"/>
          </w:tcPr>
          <w:p>
            <w:r>
              <w:t>0.167</w:t>
            </w:r>
          </w:p>
        </w:tc>
        <w:tc>
          <w:tcPr>
            <w:tcW w:type="dxa" w:w="1234"/>
          </w:tcPr>
          <w:p>
            <w:r>
              <w:t>0.094</w:t>
            </w:r>
          </w:p>
        </w:tc>
      </w:tr>
      <w:tr>
        <w:tc>
          <w:tcPr>
            <w:tcW w:type="dxa" w:w="1234"/>
          </w:tcPr>
          <w:p>
            <w:r>
              <w:t>Smoking Mortality</w:t>
            </w:r>
          </w:p>
        </w:tc>
        <w:tc>
          <w:tcPr>
            <w:tcW w:type="dxa" w:w="1234"/>
          </w:tcPr>
          <w:p>
            <w:r>
              <w:t>1A_predicted_prob</w:t>
            </w:r>
          </w:p>
        </w:tc>
        <w:tc>
          <w:tcPr>
            <w:tcW w:type="dxa" w:w="1234"/>
          </w:tcPr>
          <w:p>
            <w:r>
              <w:t>7</w:t>
            </w:r>
          </w:p>
        </w:tc>
        <w:tc>
          <w:tcPr>
            <w:tcW w:type="dxa" w:w="1234"/>
          </w:tcPr>
          <w:p>
            <w:r>
              <w:t>0.498</w:t>
            </w:r>
          </w:p>
        </w:tc>
        <w:tc>
          <w:tcPr>
            <w:tcW w:type="dxa" w:w="1234"/>
          </w:tcPr>
          <w:p>
            <w:r>
              <w:t>1.000</w:t>
            </w:r>
          </w:p>
        </w:tc>
        <w:tc>
          <w:tcPr>
            <w:tcW w:type="dxa" w:w="1234"/>
          </w:tcPr>
          <w:p>
            <w:r>
              <w:t>0.161</w:t>
            </w:r>
          </w:p>
        </w:tc>
        <w:tc>
          <w:tcPr>
            <w:tcW w:type="dxa" w:w="1234"/>
          </w:tcPr>
          <w:p>
            <w:r>
              <w:t>0.114</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spacing w:before="240"/>
      </w:pPr>
      <w:r/>
      <w:r>
        <w:rPr>
          <w:i/>
        </w:rPr>
        <w:t>Table 2. Best semi-synthetic illustration result per dataset (oracle baselines excluded). Bias reduction is the absolute difference between crude and stratified ATE risk-difference bias.</w:t>
      </w:r>
      <w:r/>
    </w:p>
    <w:p>
      <w:r>
        <w:t>Figure 3 displays ARI by dataset and method for the semi-synthetic examples.</w:t>
      </w:r>
    </w:p>
    <w:p>
      <w:pPr>
        <w:spacing w:after="120"/>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jc w:val="center"/>
      </w:pPr>
      <w:r>
        <w:rPr>
          <w:b/>
        </w:rPr>
        <w:t>Figure 3. Semi-synthetic illustration: ARI by dataset and method.</w:t>
      </w:r>
    </w:p>
    <w:p>
      <w:pPr>
        <w:pStyle w:val="Heading2"/>
      </w:pPr>
      <w:r>
        <w:t>Sensitivity to sample size</w:t>
      </w:r>
    </w:p>
    <w:p>
      <w:r>
        <w:t>Figure 4 and Supplementary Table S2 report n = 500, 2000 and 10 000 (K=5). Crude bias declined with n. The residual method's absolute random-effects ATE bias plateaued near 0.008–0.009 across the three sample sizes (0.00824 at n=500, 0.00852 at n=2000 and 0.00864 at n=10 000), so its relative reduction fell as the crude marginal estimate became more precise. Propensity-score, prognostic-score and clustering-based methods achieved larger relative reductions at n=10 000 (range 0.533–0.669), showing that performance depends on the method as well as sample size. This pattern indicates that stratification can remove the estimable part of confounding-driven aggregation bias, but it cannot fully adjust for unmodelled hidden effect modification.</w:t>
      </w:r>
    </w:p>
    <w:p>
      <w:pPr>
        <w:spacing w:after="120"/>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The residual method reaches a structural bias floor that does not vanish with sample size; propensity-score, prognostic-score and clustering approaches overtake it at n = 10 000 once finite-sample error is small relative to structural mismatch."/>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jc w:val="center"/>
      </w:pPr>
      <w:r>
        <w:rPr>
          <w:b/>
        </w:rPr>
        <w:t>Figure 4. Sample-size sensitivity of random-effects ATE bias reduction (K=5). The residual method reaches a structural bias floor that does not vanish with sample size; propensity-score, prognostic-score and clustering approaches overtake it at n = 10 000 once finite-sample error is small relative to structural mismatch.</w:t>
      </w:r>
    </w:p>
    <w:p>
      <w:pPr>
        <w:pStyle w:val="Heading2"/>
      </w:pPr>
      <w:r>
        <w:t>Sensitivity to Z-to-X and Z-to-Y effects</w:t>
      </w:r>
    </w:p>
    <w:p>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pPr>
      <w:r>
        <w:t>Robustness to non-linear Z-to-X mappings</w:t>
      </w:r>
    </w:p>
    <w:p>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Linear RE bias</w:t>
            </w:r>
          </w:p>
        </w:tc>
        <w:tc>
          <w:tcPr>
            <w:tcW w:type="dxa" w:w="960"/>
          </w:tcPr>
          <w:p>
            <w:r>
              <w:rPr>
                <w:b/>
              </w:rPr>
              <w:t>Linear RE bias SE</w:t>
            </w:r>
          </w:p>
        </w:tc>
        <w:tc>
          <w:tcPr>
            <w:tcW w:type="dxa" w:w="960"/>
          </w:tcPr>
          <w:p>
            <w:r>
              <w:rPr>
                <w:b/>
              </w:rPr>
              <w:t>Linear rel reduction</w:t>
            </w:r>
          </w:p>
        </w:tc>
        <w:tc>
          <w:tcPr>
            <w:tcW w:type="dxa" w:w="960"/>
          </w:tcPr>
          <w:p>
            <w:r>
              <w:rPr>
                <w:b/>
              </w:rPr>
              <w:t>Linear rel reduction SE</w:t>
            </w:r>
          </w:p>
        </w:tc>
        <w:tc>
          <w:tcPr>
            <w:tcW w:type="dxa" w:w="960"/>
          </w:tcPr>
          <w:p>
            <w:r>
              <w:rPr>
                <w:b/>
              </w:rPr>
              <w:t>Non-linear RE bias</w:t>
            </w:r>
          </w:p>
        </w:tc>
        <w:tc>
          <w:tcPr>
            <w:tcW w:type="dxa" w:w="960"/>
          </w:tcPr>
          <w:p>
            <w:r>
              <w:rPr>
                <w:b/>
              </w:rPr>
              <w:t>Non-linear RE bias SE</w:t>
            </w:r>
          </w:p>
        </w:tc>
        <w:tc>
          <w:tcPr>
            <w:tcW w:type="dxa" w:w="960"/>
          </w:tcPr>
          <w:p>
            <w:r>
              <w:rPr>
                <w:b/>
              </w:rPr>
              <w:t>Non-linear rel reduction</w:t>
            </w:r>
          </w:p>
        </w:tc>
        <w:tc>
          <w:tcPr>
            <w:tcW w:type="dxa" w:w="960"/>
          </w:tcPr>
          <w:p>
            <w:r>
              <w:rPr>
                <w:b/>
              </w:rPr>
              <w:t>Non-linear rel reduction SE</w:t>
            </w:r>
          </w:p>
        </w:tc>
      </w:tr>
      <w:tr>
        <w:tc>
          <w:tcPr>
            <w:tcW w:type="dxa" w:w="960"/>
          </w:tcPr>
          <w:p>
            <w:r>
              <w:t>1B_residual</w:t>
            </w:r>
          </w:p>
        </w:tc>
        <w:tc>
          <w:tcPr>
            <w:tcW w:type="dxa" w:w="960"/>
          </w:tcPr>
          <w:p>
            <w:r>
              <w:t>0.00852</w:t>
            </w:r>
          </w:p>
        </w:tc>
        <w:tc>
          <w:tcPr>
            <w:tcW w:type="dxa" w:w="960"/>
          </w:tcPr>
          <w:p>
            <w:r>
              <w:t>0.00043</w:t>
            </w:r>
          </w:p>
        </w:tc>
        <w:tc>
          <w:tcPr>
            <w:tcW w:type="dxa" w:w="960"/>
          </w:tcPr>
          <w:p>
            <w:r>
              <w:t>0.522</w:t>
            </w:r>
          </w:p>
        </w:tc>
        <w:tc>
          <w:tcPr>
            <w:tcW w:type="dxa" w:w="960"/>
          </w:tcPr>
          <w:p>
            <w:r>
              <w:t>0.093</w:t>
            </w:r>
          </w:p>
        </w:tc>
        <w:tc>
          <w:tcPr>
            <w:tcW w:type="dxa" w:w="960"/>
          </w:tcPr>
          <w:p>
            <w:r>
              <w:t>0.00724</w:t>
            </w:r>
          </w:p>
        </w:tc>
        <w:tc>
          <w:tcPr>
            <w:tcW w:type="dxa" w:w="960"/>
          </w:tcPr>
          <w:p>
            <w:r>
              <w:t>0.00042</w:t>
            </w:r>
          </w:p>
        </w:tc>
        <w:tc>
          <w:tcPr>
            <w:tcW w:type="dxa" w:w="960"/>
          </w:tcPr>
          <w:p>
            <w:r>
              <w:t>0.640</w:t>
            </w:r>
          </w:p>
        </w:tc>
        <w:tc>
          <w:tcPr>
            <w:tcW w:type="dxa" w:w="960"/>
          </w:tcPr>
          <w:p>
            <w:r>
              <w:t>0.060</w:t>
            </w:r>
          </w:p>
        </w:tc>
      </w:tr>
      <w:tr>
        <w:tc>
          <w:tcPr>
            <w:tcW w:type="dxa" w:w="960"/>
          </w:tcPr>
          <w:p>
            <w:r>
              <w:t>PS_propensity_score</w:t>
            </w:r>
          </w:p>
        </w:tc>
        <w:tc>
          <w:tcPr>
            <w:tcW w:type="dxa" w:w="960"/>
          </w:tcPr>
          <w:p>
            <w:r>
              <w:t>0.01676</w:t>
            </w:r>
          </w:p>
        </w:tc>
        <w:tc>
          <w:tcPr>
            <w:tcW w:type="dxa" w:w="960"/>
          </w:tcPr>
          <w:p>
            <w:r>
              <w:t>0.00223</w:t>
            </w:r>
          </w:p>
        </w:tc>
        <w:tc>
          <w:tcPr>
            <w:tcW w:type="dxa" w:w="960"/>
          </w:tcPr>
          <w:p>
            <w:r>
              <w:t>0.060</w:t>
            </w:r>
          </w:p>
        </w:tc>
        <w:tc>
          <w:tcPr>
            <w:tcW w:type="dxa" w:w="960"/>
          </w:tcPr>
          <w:p>
            <w:r>
              <w:t>0.111</w:t>
            </w:r>
          </w:p>
        </w:tc>
        <w:tc>
          <w:tcPr>
            <w:tcW w:type="dxa" w:w="960"/>
          </w:tcPr>
          <w:p>
            <w:r>
              <w:t>0.01653</w:t>
            </w:r>
          </w:p>
        </w:tc>
        <w:tc>
          <w:tcPr>
            <w:tcW w:type="dxa" w:w="960"/>
          </w:tcPr>
          <w:p>
            <w:r>
              <w:t>0.00208</w:t>
            </w:r>
          </w:p>
        </w:tc>
        <w:tc>
          <w:tcPr>
            <w:tcW w:type="dxa" w:w="960"/>
          </w:tcPr>
          <w:p>
            <w:r>
              <w:t>0.178</w:t>
            </w:r>
          </w:p>
        </w:tc>
        <w:tc>
          <w:tcPr>
            <w:tcW w:type="dxa" w:w="960"/>
          </w:tcPr>
          <w:p>
            <w:r>
              <w:t>0.060</w:t>
            </w:r>
          </w:p>
        </w:tc>
      </w:tr>
      <w:tr>
        <w:tc>
          <w:tcPr>
            <w:tcW w:type="dxa" w:w="960"/>
          </w:tcPr>
          <w:p>
            <w:r>
              <w:t>GMM</w:t>
            </w:r>
          </w:p>
        </w:tc>
        <w:tc>
          <w:tcPr>
            <w:tcW w:type="dxa" w:w="960"/>
          </w:tcPr>
          <w:p>
            <w:r>
              <w:t>0.01736</w:t>
            </w:r>
          </w:p>
        </w:tc>
        <w:tc>
          <w:tcPr>
            <w:tcW w:type="dxa" w:w="960"/>
          </w:tcPr>
          <w:p>
            <w:r>
              <w:t>0.00272</w:t>
            </w:r>
          </w:p>
        </w:tc>
        <w:tc>
          <w:tcPr>
            <w:tcW w:type="dxa" w:w="960"/>
          </w:tcPr>
          <w:p>
            <w:r>
              <w:t>0.027</w:t>
            </w:r>
          </w:p>
        </w:tc>
        <w:tc>
          <w:tcPr>
            <w:tcW w:type="dxa" w:w="960"/>
          </w:tcPr>
          <w:p>
            <w:r>
              <w:t>0.082</w:t>
            </w:r>
          </w:p>
        </w:tc>
        <w:tc>
          <w:tcPr>
            <w:tcW w:type="dxa" w:w="960"/>
          </w:tcPr>
          <w:p>
            <w:r>
              <w:t>0.01894</w:t>
            </w:r>
          </w:p>
        </w:tc>
        <w:tc>
          <w:tcPr>
            <w:tcW w:type="dxa" w:w="960"/>
          </w:tcPr>
          <w:p>
            <w:r>
              <w:t>0.00233</w:t>
            </w:r>
          </w:p>
        </w:tc>
        <w:tc>
          <w:tcPr>
            <w:tcW w:type="dxa" w:w="960"/>
          </w:tcPr>
          <w:p>
            <w:r>
              <w:t>0.058</w:t>
            </w:r>
          </w:p>
        </w:tc>
        <w:tc>
          <w:tcPr>
            <w:tcW w:type="dxa" w:w="960"/>
          </w:tcPr>
          <w:p>
            <w:r>
              <w:t>0.058</w:t>
            </w:r>
          </w:p>
        </w:tc>
      </w:tr>
      <w:tr>
        <w:tc>
          <w:tcPr>
            <w:tcW w:type="dxa" w:w="960"/>
          </w:tcPr>
          <w:p>
            <w:r>
              <w:t>Prognostic_score</w:t>
            </w:r>
          </w:p>
        </w:tc>
        <w:tc>
          <w:tcPr>
            <w:tcW w:type="dxa" w:w="960"/>
          </w:tcPr>
          <w:p>
            <w:r>
              <w:t>0.01374</w:t>
            </w:r>
          </w:p>
        </w:tc>
        <w:tc>
          <w:tcPr>
            <w:tcW w:type="dxa" w:w="960"/>
          </w:tcPr>
          <w:p>
            <w:r>
              <w:t>0.00245</w:t>
            </w:r>
          </w:p>
        </w:tc>
        <w:tc>
          <w:tcPr>
            <w:tcW w:type="dxa" w:w="960"/>
          </w:tcPr>
          <w:p>
            <w:r>
              <w:t>0.230</w:t>
            </w:r>
          </w:p>
        </w:tc>
        <w:tc>
          <w:tcPr>
            <w:tcW w:type="dxa" w:w="960"/>
          </w:tcPr>
          <w:p>
            <w:r>
              <w:t>0.145</w:t>
            </w:r>
          </w:p>
        </w:tc>
        <w:tc>
          <w:tcPr>
            <w:tcW w:type="dxa" w:w="960"/>
          </w:tcPr>
          <w:p>
            <w:r>
              <w:t>0.01464</w:t>
            </w:r>
          </w:p>
        </w:tc>
        <w:tc>
          <w:tcPr>
            <w:tcW w:type="dxa" w:w="960"/>
          </w:tcPr>
          <w:p>
            <w:r>
              <w:t>0.00189</w:t>
            </w:r>
          </w:p>
        </w:tc>
        <w:tc>
          <w:tcPr>
            <w:tcW w:type="dxa" w:w="960"/>
          </w:tcPr>
          <w:p>
            <w:r>
              <w:t>0.272</w:t>
            </w:r>
          </w:p>
        </w:tc>
        <w:tc>
          <w:tcPr>
            <w:tcW w:type="dxa" w:w="960"/>
          </w:tcPr>
          <w:p>
            <w:r>
              <w:t>0.064</w:t>
            </w:r>
          </w:p>
        </w:tc>
      </w:tr>
      <w:tr>
        <w:tc>
          <w:tcPr>
            <w:tcW w:type="dxa" w:w="960"/>
          </w:tcPr>
          <w:p>
            <w:r>
              <w:t>2B_clustering</w:t>
            </w:r>
          </w:p>
        </w:tc>
        <w:tc>
          <w:tcPr>
            <w:tcW w:type="dxa" w:w="960"/>
          </w:tcPr>
          <w:p>
            <w:r>
              <w:t>0.01684</w:t>
            </w:r>
          </w:p>
        </w:tc>
        <w:tc>
          <w:tcPr>
            <w:tcW w:type="dxa" w:w="960"/>
          </w:tcPr>
          <w:p>
            <w:r>
              <w:t>0.00270</w:t>
            </w:r>
          </w:p>
        </w:tc>
        <w:tc>
          <w:tcPr>
            <w:tcW w:type="dxa" w:w="960"/>
          </w:tcPr>
          <w:p>
            <w:r>
              <w:t>0.056</w:t>
            </w:r>
          </w:p>
        </w:tc>
        <w:tc>
          <w:tcPr>
            <w:tcW w:type="dxa" w:w="960"/>
          </w:tcPr>
          <w:p>
            <w:r>
              <w:t>0.159</w:t>
            </w:r>
          </w:p>
        </w:tc>
        <w:tc>
          <w:tcPr>
            <w:tcW w:type="dxa" w:w="960"/>
          </w:tcPr>
          <w:p>
            <w:r>
              <w:t>0.01773</w:t>
            </w:r>
          </w:p>
        </w:tc>
        <w:tc>
          <w:tcPr>
            <w:tcW w:type="dxa" w:w="960"/>
          </w:tcPr>
          <w:p>
            <w:r>
              <w:t>0.00200</w:t>
            </w:r>
          </w:p>
        </w:tc>
        <w:tc>
          <w:tcPr>
            <w:tcW w:type="dxa" w:w="960"/>
          </w:tcPr>
          <w:p>
            <w:r>
              <w:t>0.118</w:t>
            </w:r>
          </w:p>
        </w:tc>
        <w:tc>
          <w:tcPr>
            <w:tcW w:type="dxa" w:w="960"/>
          </w:tcPr>
          <w:p>
            <w:r>
              <w:t>0.064</w:t>
            </w:r>
          </w:p>
        </w:tc>
      </w:tr>
    </w:tbl>
    <w:p>
      <w:pPr>
        <w:spacing w:before="240"/>
      </w:pPr>
      <w:r/>
      <w:r>
        <w:rPr>
          <w:i/>
        </w:rPr>
        <w:t>Table 3. Linear versus non-linear Z-to-X mapping: random-effects ATE bias and relative bias reduction (n=2000, K=5, z=1.0, zx=1.0).</w:t>
      </w:r>
      <w:r/>
    </w:p>
    <w:p>
      <w:r>
        <w:t>Figure 5 shows random-effects ATE bias reduction under the non-linear mapping.</w:t>
      </w:r>
    </w:p>
    <w:p>
      <w:pPr>
        <w:spacing w:after="120"/>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jc w:val="center"/>
      </w:pPr>
      <w:r>
        <w:rPr>
          <w:b/>
        </w:rPr>
        <w:t>Figure 5. Non-linear Z-&gt;X robustness: random-effects ATE bias reduction (n=2000, K=5).</w:t>
      </w:r>
    </w:p>
    <w:p>
      <w:pPr>
        <w:pStyle w:val="Heading2"/>
      </w:pPr>
      <w:r>
        <w:t>Diagnostic discrimination against the empirical null</w:t>
      </w:r>
    </w:p>
    <w:p>
      <w:r>
        <w:t xml:space="preserve">Table 4 and Figure 6 summarise the diagnostic calibration of C1 and </w:t>
      </w:r>
      <m:oMath>
        <m:sSub>
          <m:e>
            <m:r>
              <m:t xml:space="preserve">W</m:t>
            </m:r>
          </m:e>
          <m:sub>
            <m:r>
              <m:t xml:space="preserve">est</m:t>
            </m:r>
          </m:sub>
        </m:sSub>
      </m:oMath>
      <w:r>
        <w:t xml:space="preserve"> against the empirical null distribution obtained when Z-by-A interactions are removed. C1 AUC ranged from 0.460 to 0.545 and </w:t>
      </w:r>
      <m:oMath>
        <m:sSub>
          <m:e>
            <m:r>
              <m:t xml:space="preserve">W</m:t>
            </m:r>
          </m:e>
          <m:sub>
            <m:r>
              <m:t xml:space="preserve">est</m:t>
            </m:r>
          </m:sub>
        </m:sSub>
      </m:oMath>
      <w:r>
        <w:t xml:space="preserve"> AUC from 0.427 to 0.561; the best C1 AUC was 0.545 for 2B_clustering and the best </w:t>
      </w:r>
      <m:oMath>
        <m:sSub>
          <m:e>
            <m:r>
              <m:t xml:space="preserve">W</m:t>
            </m:r>
          </m:e>
          <m:sub>
            <m:r>
              <m:t xml:space="preserve">est</m:t>
            </m:r>
          </m:sub>
        </m:sSub>
      </m:oMath>
      <w:r>
        <w:t xml:space="preserve"> AUC was 0.561 for GMM. True-positive rates at a 5% false-positive rate were low: C1 TPR 0.000–0.060 and </w:t>
      </w:r>
      <m:oMath>
        <m:sSub>
          <m:e>
            <m:r>
              <m:t xml:space="preserve">W</m:t>
            </m:r>
          </m:e>
          <m:sub>
            <m:r>
              <m:t xml:space="preserve">est</m:t>
            </m:r>
          </m:sub>
        </m:sSub>
      </m:oMath>
      <w:r>
        <w:t xml:space="preserve"> TPR 0.020–0.080. These values show that the diagnostics did not reliably distinguish the alternative DGM from the null in the primary scenario; the C1 AUCs at or below 0.5 for several methods show that the lower-tail null threshold does not match the direction of the alternative DGM shift for those methods. Supplementary Table S5 reports the empirical null percentiles used as thresholds. A main-effects-only outcome model for </w:t>
      </w:r>
      <m:oMath>
        <m:sSub>
          <m:e>
            <m:r>
              <m:t xml:space="preserve">W</m:t>
            </m:r>
          </m:e>
          <m:sub>
            <m:r>
              <m:t xml:space="preserve">est</m:t>
            </m:r>
          </m:sub>
        </m:sSub>
      </m:oMath>
      <w:r>
        <w:t xml:space="preserve"> inflated the residual method's </w:t>
      </w:r>
      <m:oMath>
        <m:sSub>
          <m:e>
            <m:r>
              <m:t xml:space="preserve">W</m:t>
            </m:r>
          </m:e>
          <m:sub>
            <m:r>
              <m:t xml:space="preserve">est</m:t>
            </m:r>
          </m:sub>
        </m:sSub>
      </m:oMath>
      <w:r>
        <w:t xml:space="preserve"> from 0.077 (default interactions) to 0.691, whereas the polynomial interaction model gave 0.046; full results are in Supplementary Table S6. Supplementary Table S7 reports absolute-deviation scores using distance from the empirical null mean (e.g. residual C1 abs-AUC 0.473); these did not rescue discrimination, indicating that the weak ROC performance is structural rather than an artifact of the one-sided lower-tail threshold.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C1 AUC</w:t>
            </w:r>
          </w:p>
        </w:tc>
        <w:tc>
          <w:tcPr>
            <w:tcW w:type="dxa" w:w="1728"/>
          </w:tcPr>
          <w:p>
            <w:r>
              <w:rPr>
                <w:b/>
              </w:rPr>
              <w:t>C1 TPR@5% FPR</w:t>
            </w:r>
          </w:p>
        </w:tc>
        <w:tc>
          <w:tcPr>
            <w:tcW w:type="dxa" w:w="1728"/>
          </w:tcPr>
          <w:p>
            <m:oMath>
              <m:sSub>
                <m:e>
                  <m:r>
                    <m:t xml:space="preserve">W</m:t>
                  </m:r>
                </m:e>
                <m:sub>
                  <m:r>
                    <m:t xml:space="preserve">est</m:t>
                  </m:r>
                </m:sub>
              </m:sSub>
            </m:oMath>
            <w:r>
              <w:rPr>
                <w:b/>
              </w:rPr>
              <w:t xml:space="preserve"> AUC</w:t>
            </w:r>
          </w:p>
        </w:tc>
        <w:tc>
          <w:tcPr>
            <w:tcW w:type="dxa" w:w="1728"/>
          </w:tcPr>
          <w:p>
            <m:oMath>
              <m:sSub>
                <m:e>
                  <m:r>
                    <m:t xml:space="preserve">W</m:t>
                  </m:r>
                </m:e>
                <m:sub>
                  <m:r>
                    <m:t xml:space="preserve">est</m:t>
                  </m:r>
                </m:sub>
              </m:sSub>
            </m:oMath>
            <w:r>
              <w:rPr>
                <w:b/>
              </w:rPr>
              <w:t xml:space="preserve"> TPR@5% FPR</w:t>
            </w:r>
          </w:p>
        </w:tc>
      </w:tr>
      <w:tr>
        <w:tc>
          <w:tcPr>
            <w:tcW w:type="dxa" w:w="1728"/>
          </w:tcPr>
          <w:p>
            <w:r>
              <w:t>1A_predicted_prob</w:t>
            </w:r>
          </w:p>
        </w:tc>
        <w:tc>
          <w:tcPr>
            <w:tcW w:type="dxa" w:w="1728"/>
          </w:tcPr>
          <w:p>
            <w:r>
              <w:t>0.506</w:t>
            </w:r>
          </w:p>
        </w:tc>
        <w:tc>
          <w:tcPr>
            <w:tcW w:type="dxa" w:w="1728"/>
          </w:tcPr>
          <w:p>
            <w:r>
              <w:t>0.060</w:t>
            </w:r>
          </w:p>
        </w:tc>
        <w:tc>
          <w:tcPr>
            <w:tcW w:type="dxa" w:w="1728"/>
          </w:tcPr>
          <w:p>
            <w:r>
              <w:t>0.541</w:t>
            </w:r>
          </w:p>
        </w:tc>
        <w:tc>
          <w:tcPr>
            <w:tcW w:type="dxa" w:w="1728"/>
          </w:tcPr>
          <w:p>
            <w:r>
              <w:t>0.080</w:t>
            </w:r>
          </w:p>
        </w:tc>
      </w:tr>
      <w:tr>
        <w:tc>
          <w:tcPr>
            <w:tcW w:type="dxa" w:w="1728"/>
          </w:tcPr>
          <w:p>
            <w:r>
              <w:t>1B_residual</w:t>
            </w:r>
          </w:p>
        </w:tc>
        <w:tc>
          <w:tcPr>
            <w:tcW w:type="dxa" w:w="1728"/>
          </w:tcPr>
          <w:p>
            <w:r>
              <w:t>0.460</w:t>
            </w:r>
          </w:p>
        </w:tc>
        <w:tc>
          <w:tcPr>
            <w:tcW w:type="dxa" w:w="1728"/>
          </w:tcPr>
          <w:p>
            <w:r>
              <w:t>0.060</w:t>
            </w:r>
          </w:p>
        </w:tc>
        <w:tc>
          <w:tcPr>
            <w:tcW w:type="dxa" w:w="1728"/>
          </w:tcPr>
          <w:p>
            <w:r>
              <w:t>0.542</w:t>
            </w:r>
          </w:p>
        </w:tc>
        <w:tc>
          <w:tcPr>
            <w:tcW w:type="dxa" w:w="1728"/>
          </w:tcPr>
          <w:p>
            <w:r>
              <w:t>0.060</w:t>
            </w:r>
          </w:p>
        </w:tc>
      </w:tr>
      <w:tr>
        <w:tc>
          <w:tcPr>
            <w:tcW w:type="dxa" w:w="1728"/>
          </w:tcPr>
          <w:p>
            <w:r>
              <w:t>1C_cv_decision</w:t>
            </w:r>
          </w:p>
        </w:tc>
        <w:tc>
          <w:tcPr>
            <w:tcW w:type="dxa" w:w="1728"/>
          </w:tcPr>
          <w:p>
            <w:r>
              <w:t>0.506</w:t>
            </w:r>
          </w:p>
        </w:tc>
        <w:tc>
          <w:tcPr>
            <w:tcW w:type="dxa" w:w="1728"/>
          </w:tcPr>
          <w:p>
            <w:r>
              <w:t>0.060</w:t>
            </w:r>
          </w:p>
        </w:tc>
        <w:tc>
          <w:tcPr>
            <w:tcW w:type="dxa" w:w="1728"/>
          </w:tcPr>
          <w:p>
            <w:r>
              <w:t>0.541</w:t>
            </w:r>
          </w:p>
        </w:tc>
        <w:tc>
          <w:tcPr>
            <w:tcW w:type="dxa" w:w="1728"/>
          </w:tcPr>
          <w:p>
            <w:r>
              <w:t>0.080</w:t>
            </w:r>
          </w:p>
        </w:tc>
      </w:tr>
      <w:tr>
        <w:tc>
          <w:tcPr>
            <w:tcW w:type="dxa" w:w="1728"/>
          </w:tcPr>
          <w:p>
            <w:r>
              <w:t>2A_PCA_cum60</w:t>
            </w:r>
          </w:p>
        </w:tc>
        <w:tc>
          <w:tcPr>
            <w:tcW w:type="dxa" w:w="1728"/>
          </w:tcPr>
          <w:p>
            <w:r>
              <w:t>0.464</w:t>
            </w:r>
          </w:p>
        </w:tc>
        <w:tc>
          <w:tcPr>
            <w:tcW w:type="dxa" w:w="1728"/>
          </w:tcPr>
          <w:p>
            <w:r>
              <w:t>0.060</w:t>
            </w:r>
          </w:p>
        </w:tc>
        <w:tc>
          <w:tcPr>
            <w:tcW w:type="dxa" w:w="1728"/>
          </w:tcPr>
          <w:p>
            <w:r>
              <w:t>0.490</w:t>
            </w:r>
          </w:p>
        </w:tc>
        <w:tc>
          <w:tcPr>
            <w:tcW w:type="dxa" w:w="1728"/>
          </w:tcPr>
          <w:p>
            <w:r>
              <w:t>0.060</w:t>
            </w:r>
          </w:p>
        </w:tc>
      </w:tr>
      <w:tr>
        <w:tc>
          <w:tcPr>
            <w:tcW w:type="dxa" w:w="1728"/>
          </w:tcPr>
          <w:p>
            <w:r>
              <w:t>2B_clustering</w:t>
            </w:r>
          </w:p>
        </w:tc>
        <w:tc>
          <w:tcPr>
            <w:tcW w:type="dxa" w:w="1728"/>
          </w:tcPr>
          <w:p>
            <w:r>
              <w:t>0.545</w:t>
            </w:r>
          </w:p>
        </w:tc>
        <w:tc>
          <w:tcPr>
            <w:tcW w:type="dxa" w:w="1728"/>
          </w:tcPr>
          <w:p>
            <w:r>
              <w:t>0.020</w:t>
            </w:r>
          </w:p>
        </w:tc>
        <w:tc>
          <w:tcPr>
            <w:tcW w:type="dxa" w:w="1728"/>
          </w:tcPr>
          <w:p>
            <w:r>
              <w:t>0.537</w:t>
            </w:r>
          </w:p>
        </w:tc>
        <w:tc>
          <w:tcPr>
            <w:tcW w:type="dxa" w:w="1728"/>
          </w:tcPr>
          <w:p>
            <w:r>
              <w:t>0.060</w:t>
            </w:r>
          </w:p>
        </w:tc>
      </w:tr>
      <w:tr>
        <w:tc>
          <w:tcPr>
            <w:tcW w:type="dxa" w:w="1728"/>
          </w:tcPr>
          <w:p>
            <w:r>
              <w:t>GMM</w:t>
            </w:r>
          </w:p>
        </w:tc>
        <w:tc>
          <w:tcPr>
            <w:tcW w:type="dxa" w:w="1728"/>
          </w:tcPr>
          <w:p>
            <w:r>
              <w:t>0.489</w:t>
            </w:r>
          </w:p>
        </w:tc>
        <w:tc>
          <w:tcPr>
            <w:tcW w:type="dxa" w:w="1728"/>
          </w:tcPr>
          <w:p>
            <w:r>
              <w:t>0.060</w:t>
            </w:r>
          </w:p>
        </w:tc>
        <w:tc>
          <w:tcPr>
            <w:tcW w:type="dxa" w:w="1728"/>
          </w:tcPr>
          <w:p>
            <w:r>
              <w:t>0.561</w:t>
            </w:r>
          </w:p>
        </w:tc>
        <w:tc>
          <w:tcPr>
            <w:tcW w:type="dxa" w:w="1728"/>
          </w:tcPr>
          <w:p>
            <w:r>
              <w:t>0.080</w:t>
            </w:r>
          </w:p>
        </w:tc>
      </w:tr>
      <w:tr>
        <w:tc>
          <w:tcPr>
            <w:tcW w:type="dxa" w:w="1728"/>
          </w:tcPr>
          <w:p>
            <w:r>
              <w:t>PS_propensity_score</w:t>
            </w:r>
          </w:p>
        </w:tc>
        <w:tc>
          <w:tcPr>
            <w:tcW w:type="dxa" w:w="1728"/>
          </w:tcPr>
          <w:p>
            <w:r>
              <w:t>0.481</w:t>
            </w:r>
          </w:p>
        </w:tc>
        <w:tc>
          <w:tcPr>
            <w:tcW w:type="dxa" w:w="1728"/>
          </w:tcPr>
          <w:p>
            <w:r>
              <w:t>0.060</w:t>
            </w:r>
          </w:p>
        </w:tc>
        <w:tc>
          <w:tcPr>
            <w:tcW w:type="dxa" w:w="1728"/>
          </w:tcPr>
          <w:p>
            <w:r>
              <w:t>0.494</w:t>
            </w:r>
          </w:p>
        </w:tc>
        <w:tc>
          <w:tcPr>
            <w:tcW w:type="dxa" w:w="1728"/>
          </w:tcPr>
          <w:p>
            <w:r>
              <w:t>0.020</w:t>
            </w:r>
          </w:p>
        </w:tc>
      </w:tr>
      <w:tr>
        <w:tc>
          <w:tcPr>
            <w:tcW w:type="dxa" w:w="1728"/>
          </w:tcPr>
          <w:p>
            <w:r>
              <w:t>Prognostic_score</w:t>
            </w:r>
          </w:p>
        </w:tc>
        <w:tc>
          <w:tcPr>
            <w:tcW w:type="dxa" w:w="1728"/>
          </w:tcPr>
          <w:p>
            <w:r>
              <w:t>0.520</w:t>
            </w:r>
          </w:p>
        </w:tc>
        <w:tc>
          <w:tcPr>
            <w:tcW w:type="dxa" w:w="1728"/>
          </w:tcPr>
          <w:p>
            <w:r>
              <w:t>0.020</w:t>
            </w:r>
          </w:p>
        </w:tc>
        <w:tc>
          <w:tcPr>
            <w:tcW w:type="dxa" w:w="1728"/>
          </w:tcPr>
          <w:p>
            <w:r>
              <w:t>0.528</w:t>
            </w:r>
          </w:p>
        </w:tc>
        <w:tc>
          <w:tcPr>
            <w:tcW w:type="dxa" w:w="1728"/>
          </w:tcPr>
          <w:p>
            <w:r>
              <w:t>0.040</w:t>
            </w:r>
          </w:p>
        </w:tc>
      </w:tr>
      <w:tr>
        <w:tc>
          <w:tcPr>
            <w:tcW w:type="dxa" w:w="1728"/>
          </w:tcPr>
          <w:p>
            <w:r>
              <w:t>baseline_oracle_kmeans</w:t>
            </w:r>
          </w:p>
        </w:tc>
        <w:tc>
          <w:tcPr>
            <w:tcW w:type="dxa" w:w="1728"/>
          </w:tcPr>
          <w:p>
            <w:r>
              <w:t>0.507</w:t>
            </w:r>
          </w:p>
        </w:tc>
        <w:tc>
          <w:tcPr>
            <w:tcW w:type="dxa" w:w="1728"/>
          </w:tcPr>
          <w:p>
            <w:r>
              <w:t>0.000</w:t>
            </w:r>
          </w:p>
        </w:tc>
        <w:tc>
          <w:tcPr>
            <w:tcW w:type="dxa" w:w="1728"/>
          </w:tcPr>
          <w:p>
            <w:r>
              <w:t>0.506</w:t>
            </w:r>
          </w:p>
        </w:tc>
        <w:tc>
          <w:tcPr>
            <w:tcW w:type="dxa" w:w="1728"/>
          </w:tcPr>
          <w:p>
            <w:r>
              <w:t>0.040</w:t>
            </w:r>
          </w:p>
        </w:tc>
      </w:tr>
      <w:tr>
        <w:tc>
          <w:tcPr>
            <w:tcW w:type="dxa" w:w="1728"/>
          </w:tcPr>
          <w:p>
            <w:r>
              <w:t>baseline_oracle_quantile</w:t>
            </w:r>
          </w:p>
        </w:tc>
        <w:tc>
          <w:tcPr>
            <w:tcW w:type="dxa" w:w="1728"/>
          </w:tcPr>
          <w:p>
            <w:r>
              <w:t>0.507</w:t>
            </w:r>
          </w:p>
        </w:tc>
        <w:tc>
          <w:tcPr>
            <w:tcW w:type="dxa" w:w="1728"/>
          </w:tcPr>
          <w:p>
            <w:r>
              <w:t>0.000</w:t>
            </w:r>
          </w:p>
        </w:tc>
        <w:tc>
          <w:tcPr>
            <w:tcW w:type="dxa" w:w="1728"/>
          </w:tcPr>
          <w:p>
            <w:r>
              <w:t>0.537</w:t>
            </w:r>
          </w:p>
        </w:tc>
        <w:tc>
          <w:tcPr>
            <w:tcW w:type="dxa" w:w="1728"/>
          </w:tcPr>
          <w:p>
            <w:r>
              <w:t>0.060</w:t>
            </w:r>
          </w:p>
        </w:tc>
      </w:tr>
      <w:tr>
        <w:tc>
          <w:tcPr>
            <w:tcW w:type="dxa" w:w="1728"/>
          </w:tcPr>
          <w:p>
            <w:r>
              <w:t>baseline_random</w:t>
            </w:r>
          </w:p>
        </w:tc>
        <w:tc>
          <w:tcPr>
            <w:tcW w:type="dxa" w:w="1728"/>
          </w:tcPr>
          <w:p>
            <w:r>
              <w:t>0.544</w:t>
            </w:r>
          </w:p>
        </w:tc>
        <w:tc>
          <w:tcPr>
            <w:tcW w:type="dxa" w:w="1728"/>
          </w:tcPr>
          <w:p>
            <w:r>
              <w:t>0.040</w:t>
            </w:r>
          </w:p>
        </w:tc>
        <w:tc>
          <w:tcPr>
            <w:tcW w:type="dxa" w:w="1728"/>
          </w:tcPr>
          <w:p>
            <w:r>
              <w:t>0.427</w:t>
            </w:r>
          </w:p>
        </w:tc>
        <w:tc>
          <w:tcPr>
            <w:tcW w:type="dxa" w:w="1728"/>
          </w:tcPr>
          <w:p>
            <w:r>
              <w:t>0.040</w:t>
            </w:r>
          </w:p>
        </w:tc>
      </w:tr>
    </w:tbl>
    <w:p>
      <w:pPr>
        <w:spacing w:before="240"/>
      </w:pPr>
      <w:r/>
      <w:r>
        <w:rPr>
          <w:i/>
        </w:rPr>
        <w:t xml:space="preserve">Table 4. Diagnostic discrimination of C1 and </w:t>
      </w:r>
      <m:oMath>
        <m:sSub>
          <m:e>
            <m:r>
              <m:t xml:space="preserve">W</m:t>
            </m:r>
          </m:e>
          <m:sub>
            <m:r>
              <m:t xml:space="preserve">est</m:t>
            </m:r>
          </m:sub>
        </m:sSub>
      </m:oMath>
      <w:r>
        <w:rPr>
          <w:i/>
        </w:rPr>
        <w:t xml:space="preserve"> against the empirical null distribution (n=2000, K=5, 200 null replications and 50 alternative replications).</w:t>
      </w:r>
      <w:r/>
    </w:p>
    <w:p>
      <w:pPr>
        <w:spacing w:after="120"/>
        <w:jc w:val="center"/>
      </w:pPr>
      <w:r>
        <w:drawing>
          <wp:inline xmlns:a="http://schemas.openxmlformats.org/drawingml/2006/main" xmlns:pic="http://schemas.openxmlformats.org/drawingml/2006/picture">
            <wp:extent cx="5303520" cy="3314700"/>
            <wp:docPr id="6" name="Picture 6" descr="Figure 6. Diagnostic calibration of C1 and W_est: AUC for discriminating the alternative DGM from the empirical null distribution (n=2000, K=5). C1 and W_est do not provide reliable classification on their own in the primary scenario; they should be used only as descriptive flags calibrated to the empirical null."/>
            <wp:cNvGraphicFramePr>
              <a:graphicFrameLocks noChangeAspect="1"/>
            </wp:cNvGraphicFramePr>
            <a:graphic>
              <a:graphicData uri="http://schemas.openxmlformats.org/drawingml/2006/picture">
                <pic:pic>
                  <pic:nvPicPr>
                    <pic:cNvPr id="0" name="fig6_rsm_diagnostic_calibration.png"/>
                    <pic:cNvPicPr/>
                  </pic:nvPicPr>
                  <pic:blipFill>
                    <a:blip r:embed="rId14"/>
                    <a:stretch>
                      <a:fillRect/>
                    </a:stretch>
                  </pic:blipFill>
                  <pic:spPr>
                    <a:xfrm>
                      <a:off x="0" y="0"/>
                      <a:ext cx="5303520" cy="3314700"/>
                    </a:xfrm>
                    <a:prstGeom prst="rect"/>
                  </pic:spPr>
                </pic:pic>
              </a:graphicData>
            </a:graphic>
          </wp:inline>
        </w:drawing>
      </w:r>
    </w:p>
    <w:p>
      <w:pPr>
        <w:spacing w:before="240"/>
        <w:jc w:val="center"/>
      </w:pPr>
      <w:r>
        <w:rPr>
          <w:b/>
        </w:rPr>
        <w:t xml:space="preserve">Figure 6. Diagnostic calibration of C1 and </w:t>
      </w:r>
      <m:oMath>
        <m:sSub>
          <m:e>
            <m:r>
              <m:t xml:space="preserve">W</m:t>
            </m:r>
          </m:e>
          <m:sub>
            <m:r>
              <m:t xml:space="preserve">est</m:t>
            </m:r>
          </m:sub>
        </m:sSub>
      </m:oMath>
      <w:r>
        <w:rPr>
          <w:b/>
        </w:rPr>
        <w:t xml:space="preserve">: AUC for discriminating the alternative DGM from the empirical null distribution (n=2000, K=5). C1 and </w:t>
      </w:r>
      <m:oMath>
        <m:sSub>
          <m:e>
            <m:r>
              <m:t xml:space="preserve">W</m:t>
            </m:r>
          </m:e>
          <m:sub>
            <m:r>
              <m:t xml:space="preserve">est</m:t>
            </m:r>
          </m:sub>
        </m:sSub>
      </m:oMath>
      <w:r>
        <w:rPr>
          <w:b/>
        </w:rPr>
        <w:t xml:space="preserve"> do not provide reliable classification on their own in the primary scenario; they should be used only as descriptive flags calibrated to the empirical null.</w:t>
      </w:r>
    </w:p>
    <w:p>
      <w:pPr>
        <w:pStyle w:val="Heading2"/>
      </w:pPr>
      <w:r>
        <w:t>CATE variance explained</w:t>
      </w:r>
    </w:p>
    <w:p>
      <w:r>
        <w:t xml:space="preserve">Figure 7 shows CATE variance explained (eta^2, represented by </w:t>
      </w:r>
      <m:oMath>
        <m:sSub>
          <m:e>
            <m:r>
              <m:t xml:space="preserve">W</m:t>
            </m:r>
          </m:e>
          <m:sub>
            <m:r>
              <m:t xml:space="preserve">true</m:t>
            </m:r>
          </m:sub>
        </m:sSub>
      </m:oMath>
      <w:r>
        <w:t xml:space="preserve">) and the corresponding estimated value (</w:t>
      </w:r>
      <m:oMath>
        <m:sSub>
          <m:e>
            <m:r>
              <m:t xml:space="preserve">W</m:t>
            </m:r>
          </m:e>
          <m:sub>
            <m:r>
              <m:t xml:space="preserve">est</m:t>
            </m:r>
          </m:sub>
        </m:sSub>
      </m:oMath>
      <w:r>
        <w:t xml:space="preserve">) for each method. Methods that produced stratum-specific effects close to the true CATE quantiles achieved higher eta^2, but no data-driven method reached the Oracle level. The gap between </w:t>
      </w:r>
      <m:oMath>
        <m:sSub>
          <m:e>
            <m:r>
              <m:t xml:space="preserve">W</m:t>
            </m:r>
          </m:e>
          <m:sub>
            <m:r>
              <m:t xml:space="preserve">true</m:t>
            </m:r>
          </m:sub>
        </m:sSub>
      </m:oMath>
      <w:r>
        <w:t xml:space="preserve"> and </w:t>
      </w:r>
      <m:oMath>
        <m:sSub>
          <m:e>
            <m:r>
              <m:t xml:space="preserve">W</m:t>
            </m:r>
          </m:e>
          <m:sub>
            <m:r>
              <m:t xml:space="preserve">est</m:t>
            </m:r>
          </m:sub>
        </m:sSub>
      </m:oMath>
      <w:r>
        <w:t xml:space="preserve"> shows that the residual and predicted-probability models capture only part of the true CATE variation.</w:t>
      </w:r>
    </w:p>
    <w:p>
      <w:pPr>
        <w:spacing w:after="120"/>
        <w:jc w:val="center"/>
      </w:pPr>
      <w:r>
        <w:drawing>
          <wp:inline xmlns:a="http://schemas.openxmlformats.org/drawingml/2006/main" xmlns:pic="http://schemas.openxmlformats.org/drawingml/2006/picture">
            <wp:extent cx="5303520" cy="3314700"/>
            <wp:docPr id="7" name="Picture 7" descr="Figure 7. CATE variance explained (eta^2 = W_true) and estimated W_est by method in the primary scenario (n=2000, K=5)."/>
            <wp:cNvGraphicFramePr>
              <a:graphicFrameLocks noChangeAspect="1"/>
            </wp:cNvGraphicFramePr>
            <a:graphic>
              <a:graphicData uri="http://schemas.openxmlformats.org/drawingml/2006/picture">
                <pic:pic>
                  <pic:nvPicPr>
                    <pic:cNvPr id="0" name="fig7_cate_variance_explained.png"/>
                    <pic:cNvPicPr/>
                  </pic:nvPicPr>
                  <pic:blipFill>
                    <a:blip r:embed="rId15"/>
                    <a:stretch>
                      <a:fillRect/>
                    </a:stretch>
                  </pic:blipFill>
                  <pic:spPr>
                    <a:xfrm>
                      <a:off x="0" y="0"/>
                      <a:ext cx="5303520" cy="3314700"/>
                    </a:xfrm>
                    <a:prstGeom prst="rect"/>
                  </pic:spPr>
                </pic:pic>
              </a:graphicData>
            </a:graphic>
          </wp:inline>
        </w:drawing>
      </w:r>
    </w:p>
    <w:p>
      <w:pPr>
        <w:spacing w:before="240"/>
        <w:jc w:val="center"/>
      </w:pPr>
      <w:r>
        <w:rPr>
          <w:b/>
        </w:rPr>
        <w:t xml:space="preserve">Figure 7. CATE variance explained (eta^2 = </w:t>
      </w:r>
      <m:oMath>
        <m:sSub>
          <m:e>
            <m:r>
              <m:t xml:space="preserve">W</m:t>
            </m:r>
          </m:e>
          <m:sub>
            <m:r>
              <m:t xml:space="preserve">true</m:t>
            </m:r>
          </m:sub>
        </m:sSub>
      </m:oMath>
      <w:r>
        <w:rPr>
          <w:b/>
        </w:rPr>
        <w:t xml:space="preserve">) and estimated </w:t>
      </w:r>
      <m:oMath>
        <m:sSub>
          <m:e>
            <m:r>
              <m:t xml:space="preserve">W</m:t>
            </m:r>
          </m:e>
          <m:sub>
            <m:r>
              <m:t xml:space="preserve">est</m:t>
            </m:r>
          </m:sub>
        </m:sSub>
      </m:oMath>
      <w:r>
        <w:rPr>
          <w:b/>
        </w:rPr>
        <w:t xml:space="preserve"> by method in the primary scenario (n=2000, K=5).</w:t>
      </w:r>
    </w:p>
    <w:p>
      <w:pPr>
        <w:pStyle w:val="Heading2"/>
      </w:pPr>
      <w:r>
        <w:t>Recommendations for method choice</w:t>
      </w:r>
    </w:p>
    <w:p>
      <w:r>
        <w:t>Table 5 translates the simulation results into practical guidance. It links scenario characteristics to the method that performed best in the benchmark, states the rationale, and notes the key caveat. The recommendations reflect the patterns in Tables 1–4 and Supplementary Tables S1–S4; they are not derived from a new optimisation and should be treated as heuristics for sensitivity analysis rather than prescriptive rules.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Scenario characteristic</w:t>
            </w:r>
          </w:p>
        </w:tc>
        <w:tc>
          <w:tcPr>
            <w:tcW w:type="dxa" w:w="2160"/>
          </w:tcPr>
          <w:p>
            <w:r>
              <w:rPr>
                <w:b/>
              </w:rPr>
              <w:t>Recommended method</w:t>
            </w:r>
          </w:p>
        </w:tc>
        <w:tc>
          <w:tcPr>
            <w:tcW w:type="dxa" w:w="2160"/>
          </w:tcPr>
          <w:p>
            <w:r>
              <w:rPr>
                <w:b/>
              </w:rPr>
              <w:t>Rationale</w:t>
            </w:r>
          </w:p>
        </w:tc>
        <w:tc>
          <w:tcPr>
            <w:tcW w:type="dxa" w:w="2160"/>
          </w:tcPr>
          <w:p>
            <w:r>
              <w:rPr>
                <w:b/>
              </w:rPr>
              <w:t>Caveat</w:t>
            </w:r>
          </w:p>
        </w:tc>
      </w:tr>
      <w:tr>
        <w:tc>
          <w:tcPr>
            <w:tcW w:type="dxa" w:w="2160"/>
          </w:tcPr>
          <w:p>
            <w:r>
              <w:t>Strong covariate trace of a hidden modifier and moderate-to-large sample</w:t>
            </w:r>
          </w:p>
        </w:tc>
        <w:tc>
          <w:tcPr>
            <w:tcW w:type="dxa" w:w="2160"/>
          </w:tcPr>
          <w:p>
            <w:r>
              <w:t>Residual-based IONE (1B)</w:t>
            </w:r>
          </w:p>
        </w:tc>
        <w:tc>
          <w:tcPr>
            <w:tcW w:type="dxa" w:w="2160"/>
          </w:tcPr>
          <w:p>
            <w:r>
              <w:t xml:space="preserve">Highest random-effects ATE bias reduction and </w:t>
            </w:r>
            <m:oMath>
              <m:sSub>
                <m:e>
                  <m:r>
                    <m:t xml:space="preserve">W</m:t>
                  </m:r>
                </m:e>
                <m:sub>
                  <m:r>
                    <m:t xml:space="preserve">true</m:t>
                  </m:r>
                </m:sub>
              </m:sSub>
            </m:oMath>
            <w:r>
              <w:t xml:space="preserve"> in the primary scenario</w:t>
            </w:r>
          </w:p>
        </w:tc>
        <w:tc>
          <w:tcPr>
            <w:tcW w:type="dxa" w:w="2160"/>
          </w:tcPr>
          <w:p>
            <w:r>
              <w:t>Hits a structural bias floor that does not vanish with sample size; requires a correctly specified outcome model with treatment-covariate interactions</w:t>
            </w:r>
          </w:p>
        </w:tc>
      </w:tr>
      <w:tr>
        <w:tc>
          <w:tcPr>
            <w:tcW w:type="dxa" w:w="2160"/>
          </w:tcPr>
          <w:p>
            <w:r>
              <w:t>Small sample (n ≈ 500) with moderate modification</w:t>
            </w:r>
          </w:p>
        </w:tc>
        <w:tc>
          <w:tcPr>
            <w:tcW w:type="dxa" w:w="2160"/>
          </w:tcPr>
          <w:p>
            <w:r>
              <w:t>Residual-based IONE (1B)</w:t>
            </w:r>
          </w:p>
        </w:tc>
        <w:tc>
          <w:tcPr>
            <w:tcW w:type="dxa" w:w="2160"/>
          </w:tcPr>
          <w:p>
            <w:r>
              <w:t>Achieved the largest relative bias reduction and the smallest absolute bias floor at n = 500</w:t>
            </w:r>
          </w:p>
        </w:tc>
        <w:tc>
          <w:tcPr>
            <w:tcW w:type="dxa" w:w="2160"/>
          </w:tcPr>
          <w:p>
            <w:r>
              <w:t>Relative reduction partly reflects large crude bias; residual model can overfit when events are sparse</w:t>
            </w:r>
          </w:p>
        </w:tc>
      </w:tr>
      <w:tr>
        <w:tc>
          <w:tcPr>
            <w:tcW w:type="dxa" w:w="2160"/>
          </w:tcPr>
          <w:p>
            <w:r>
              <w:t>Large sample (n ≈ 10 000) and strong measured confounding</w:t>
            </w:r>
          </w:p>
        </w:tc>
        <w:tc>
          <w:tcPr>
            <w:tcW w:type="dxa" w:w="2160"/>
          </w:tcPr>
          <w:p>
            <w:r>
              <w:t>Propensity-score, prognostic-score or clustering stratification</w:t>
            </w:r>
          </w:p>
        </w:tc>
        <w:tc>
          <w:tcPr>
            <w:tcW w:type="dxa" w:w="2160"/>
          </w:tcPr>
          <w:p>
            <w:r>
              <w:t>Largest relative reductions after finite-sample error was dominated by structural differences</w:t>
            </w:r>
          </w:p>
        </w:tc>
        <w:tc>
          <w:tcPr>
            <w:tcW w:type="dxa" w:w="2160"/>
          </w:tcPr>
          <w:p>
            <w:r>
              <w:t>Residual-based stratification is overtaken once crude bias is small; method-specific performance still varies</w:t>
            </w:r>
          </w:p>
        </w:tc>
      </w:tr>
      <w:tr>
        <w:tc>
          <w:tcPr>
            <w:tcW w:type="dxa" w:w="2160"/>
          </w:tcPr>
          <w:p>
            <w:r>
              <w:t>Outcome model unavailable, misspecified or rare events</w:t>
            </w:r>
          </w:p>
        </w:tc>
        <w:tc>
          <w:tcPr>
            <w:tcW w:type="dxa" w:w="2160"/>
          </w:tcPr>
          <w:p>
            <w:r>
              <w:t>Outcome-free methods (PCA or k-means) or prognostic-score stratification</w:t>
            </w:r>
          </w:p>
        </w:tc>
        <w:tc>
          <w:tcPr>
            <w:tcW w:type="dxa" w:w="2160"/>
          </w:tcPr>
          <w:p>
            <w:r>
              <w:t>Do not use the outcome for stratification, so avoid degenerate logistic fits and overfitting</w:t>
            </w:r>
          </w:p>
        </w:tc>
        <w:tc>
          <w:tcPr>
            <w:tcW w:type="dxa" w:w="2160"/>
          </w:tcPr>
          <w:p>
            <w:r>
              <w:t>ATE bias reduction is generally smaller; C1 and W discrimination remains near chance</w:t>
            </w:r>
          </w:p>
        </w:tc>
      </w:tr>
      <w:tr>
        <w:tc>
          <w:tcPr>
            <w:tcW w:type="dxa" w:w="2160"/>
          </w:tcPr>
          <w:p>
            <w:r>
              <w:t>Need a descriptive flag for internal incoherence</w:t>
            </w:r>
          </w:p>
        </w:tc>
        <w:tc>
          <w:tcPr>
            <w:tcW w:type="dxa" w:w="2160"/>
          </w:tcPr>
          <w:p>
            <w:r>
              <w:t xml:space="preserve">Report C1_excess and </w:t>
            </w:r>
            <m:oMath>
              <m:sSub>
                <m:e>
                  <m:r>
                    <m:t xml:space="preserve">W</m:t>
                  </m:r>
                </m:e>
                <m:sub>
                  <m:r>
                    <m:t xml:space="preserve">est</m:t>
                  </m:r>
                </m:sub>
              </m:sSub>
            </m:oMath>
            <w:r>
              <w:t xml:space="preserve">_excess alongside the primary analysis</w:t>
            </w:r>
          </w:p>
        </w:tc>
        <w:tc>
          <w:tcPr>
            <w:tcW w:type="dxa" w:w="2160"/>
          </w:tcPr>
          <w:p>
            <w:r>
              <w:t>Empirically calibrated against a no-modification null</w:t>
            </w:r>
          </w:p>
        </w:tc>
        <w:tc>
          <w:tcPr>
            <w:tcW w:type="dxa" w:w="2160"/>
          </w:tcPr>
          <w:p>
            <w:r>
              <w:t>Do not use as a standalone inferential test; thresholds are method-specific and DGM-conditional</w:t>
            </w:r>
          </w:p>
        </w:tc>
      </w:tr>
    </w:tbl>
    <w:p>
      <w:pPr>
        <w:spacing w:before="240"/>
      </w:pPr>
      <w:r/>
      <w:r>
        <w:rPr>
          <w:i/>
        </w:rPr>
        <w:t>Table 5. Recommendations for choosing a stratification method in an IPD meta-analysis sensitivity analysis.</w:t>
      </w:r>
      <w:r/>
    </w:p>
    <w:p>
      <w:pPr>
        <w:pStyle w:val="Heading2"/>
      </w:pPr>
      <w:r>
        <w:t xml:space="preserve">Empirical null distribution and </w:t>
      </w:r>
      <m:oMath>
        <m:sSub>
          <m:e>
            <m:r>
              <m:t xml:space="preserve">W</m:t>
            </m:r>
          </m:e>
          <m:sub>
            <m:r>
              <m:t xml:space="preserve">est</m:t>
            </m:r>
          </m:sub>
        </m:sSub>
      </m:oMath>
      <w:r>
        <w:t xml:space="preserve"> misspecification</w:t>
      </w:r>
    </w:p>
    <w:p>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pPr>
      <w:r>
        <w:t>4. Discussion</w:t>
      </w:r>
    </w:p>
    <w:p>
      <w:pPr>
        <w:pStyle w:val="Heading2"/>
      </w:pPr>
      <w:r>
        <w:t>Principal findings</w:t>
      </w:r>
    </w:p>
    <w:p>
      <w:r>
        <w:t xml:space="preserve">This study frames Incoherence-Oriented Neutralisation and Extraction (IONE) as a descriptive sensitivity tool for hidden effect modification in IPD meta-analysis. C1 and W flag whether a pooled IPD is internally coherent with respect to treatment effect: methods that captured more of the true Z structure produced C1 values close to the Oracle and higher </w:t>
      </w:r>
      <m:oMath>
        <m:sSub>
          <m:e>
            <m:r>
              <m:t xml:space="preserve">W</m:t>
            </m:r>
          </m:e>
          <m:sub>
            <m:r>
              <m:t xml:space="preserve">true</m:t>
            </m:r>
          </m:sub>
        </m:sSub>
      </m:oMath>
      <w:r>
        <w:t xml:space="preserve">, especially the residual-based method. Agreement with the operational k-means true-Z partition was modest (Oracle ARI 0.372; best non-Oracle 1B_residual 0.032), and the C1 and </w:t>
      </w:r>
      <m:oMath>
        <m:sSub>
          <m:e>
            <m:r>
              <m:t xml:space="preserve">W</m:t>
            </m:r>
          </m:e>
          <m:sub>
            <m:r>
              <m:t xml:space="preserve">est</m:t>
            </m:r>
          </m:sub>
        </m:sSub>
      </m:oMath>
      <w:r>
        <w:t xml:space="preserve"> diagnostics did not reliably discriminate the alternative DGM from the empirical null (C1 AUC 0.460-0.545; W AUC 0.427-0.561). Nevertheless, the best data-driven stratification reduced crude ATE bias from 0.01865 to 0.00816 (relative reduction 0.563) with DerSimonian-Laird pooling. These findings show that separating a pooled IPD into more homogeneous strata can partially reduce marginal bias, and that stratum-specific effects should be allowed to vary once incoherence is suggested.</w:t>
      </w:r>
    </w:p>
    <w:p>
      <w:pPr>
        <w:pStyle w:val="Heading2"/>
      </w:pPr>
      <w:r>
        <w:t>Detection versus subgroup recovery</w:t>
      </w:r>
    </w:p>
    <w:p>
      <w:r>
        <w:t xml:space="preserve">Detection asks whether the pooled population is internally coherent; C1 and W address this without requiring hidden subgroups to be specified. The ROC results in Table 4 and Figure 6 show that, in the primary scenario, detection sensitivity from C1 and </w:t>
      </w:r>
      <m:oMath>
        <m:sSub>
          <m:e>
            <m:r>
              <m:t xml:space="preserve">W</m:t>
            </m:r>
          </m:e>
          <m:sub>
            <m:r>
              <m:t xml:space="preserve">est</m:t>
            </m:r>
          </m:sub>
        </m:sSub>
      </m:oMath>
      <w:r>
        <w:t xml:space="preserve"> alone is low. Separating the data into more homogeneous subgroups is harder still, because measured covariates only partially trace the hidden effect modifier. IONE's practical value therefore lies in sensitivity exploration and partial ATE improvement, not in recovering hidden subgroup labels or replacing confounding adjustment.</w:t>
      </w:r>
    </w:p>
    <w:p>
      <w:pPr>
        <w:pStyle w:val="Heading2"/>
      </w:pPr>
      <w:r>
        <w:t>Comparison with study-level and covariate-adjustment approaches</w:t>
      </w:r>
    </w:p>
    <w:p>
      <w:r>
        <w:t xml:space="preserve">Stratification by study remains a default in IPD meta-analysis and captured part of the marginal bias in our benchmark. Study-level random-effects pooling does not, however, exploit covariate traces of hidden effect modification within studies. Propensity-score </w:t>
      </w:r>
      <w:r>
        <w:rPr>
          <w:vertAlign w:val="superscript"/>
        </w:rPr>
        <w:t>17</w:t>
      </w:r>
      <w:r>
        <w:t xml:space="preserve"> and prognostic-score </w:t>
      </w:r>
      <w:r>
        <w:rPr>
          <w:vertAlign w:val="superscript"/>
        </w:rPr>
        <w:t>19</w:t>
      </w:r>
      <w:r>
        <w:t xml:space="preserve"> methods adjust for measured confounders but do not detect unmeasured population structure. Latent-class models </w:t>
      </w:r>
      <w:r>
        <w:rPr>
          <w:vertAlign w:val="superscript"/>
        </w:rPr>
        <w:t>18</w:t>
      </w:r>
      <w:r>
        <w:t xml:space="preserve"> seek hidden subgroups but need strong assumptions and do not report a transparent between-stratum heterogeneity diagnostic such as C1. IONE adds a pair of descriptive diagnostics that can be reported alongside these methods.</w:t>
      </w:r>
    </w:p>
    <w:p>
      <w:pPr>
        <w:pStyle w:val="Heading2"/>
      </w:pPr>
      <w:r>
        <w:t>W denominator and misspecification</w:t>
      </w:r>
    </w:p>
    <w:p>
      <w:r>
        <w:t xml:space="preserve">W is a ratio whose denominator is the overall CATE variance. When effect modification is weak this denominator is small, making W unstable and hard to interpret as an absolute measure. We therefore centred the diagnostics on their empirical null means and reported excess values (C1_excess, </w:t>
      </w:r>
      <m:oMath>
        <m:sSub>
          <m:e>
            <m:r>
              <m:t xml:space="preserve">W</m:t>
            </m:r>
          </m:e>
          <m:sub>
            <m:r>
              <m:t xml:space="preserve">true</m:t>
            </m:r>
          </m:sub>
        </m:sSub>
      </m:oMath>
      <w:r>
        <w:t xml:space="preserve">_excess, </w:t>
      </w:r>
      <m:oMath>
        <m:sSub>
          <m:e>
            <m:r>
              <m:t xml:space="preserve">W</m:t>
            </m:r>
          </m:e>
          <m:sub>
            <m:r>
              <m:t xml:space="preserve">est</m:t>
            </m:r>
          </m:sub>
        </m:sSub>
      </m:oMath>
      <w:r>
        <w:t xml:space="preserve">_excess). </w:t>
      </w:r>
      <m:oMath>
        <m:sSub>
          <m:e>
            <m:r>
              <m:t xml:space="preserve">W</m:t>
            </m:r>
          </m:e>
          <m:sub>
            <m:r>
              <m:t xml:space="preserve">est</m:t>
            </m:r>
          </m:sub>
        </m:sSub>
      </m:oMath>
      <w:r>
        <w:t xml:space="preserve"> is also sensitive to outcome-model specification: a main-effects-only model for the residual method inflated </w:t>
      </w:r>
      <m:oMath>
        <m:sSub>
          <m:e>
            <m:r>
              <m:t xml:space="preserve">W</m:t>
            </m:r>
          </m:e>
          <m:sub>
            <m:r>
              <m:t xml:space="preserve">est</m:t>
            </m:r>
          </m:sub>
        </m:sSub>
      </m:oMath>
      <w:r>
        <w:t xml:space="preserve"> from 0.077 to 0.691, whereas the correctly specified polynomial interaction model gave 0.046. Analysts should not treat a single </w:t>
      </w:r>
      <m:oMath>
        <m:sSub>
          <m:e>
            <m:r>
              <m:t xml:space="preserve">W</m:t>
            </m:r>
          </m:e>
          <m:sub>
            <m:r>
              <m:t xml:space="preserve">est</m:t>
            </m:r>
          </m:sub>
        </m:sSub>
      </m:oMath>
      <w:r>
        <w:t xml:space="preserve"> value as evidence of an effect modifier without inspecting the fitted outcome model and the empirical null distribution.</w:t>
      </w:r>
    </w:p>
    <w:p>
      <w:pPr>
        <w:pStyle w:val="Heading2"/>
      </w:pPr>
      <w:r>
        <w:t>Large-sample behaviour</w:t>
      </w:r>
    </w:p>
    <w:p>
      <w:r>
        <w:t>At n = 10 000 the residual method still showed a non-negligible random-effects ATE bias (0.00864; relative reduction 0.348), similar to the absolute floor observed at n=500 (0.00824) and n=2000 (0.00852). This floor is consistent with the ARI ceiling: once finite-sample error is removed, remaining bias reflects the structural mismatch between the discovered strata and the true CATE surface. The true-CATE-quantile oracle provides an upper bound on what perfect sorting could achieve; the gap between the oracle and the leading data-driven method quantifies the cost of not observing the true effect modifier.</w:t>
      </w:r>
    </w:p>
    <w:p>
      <w:pPr>
        <w:pStyle w:val="Heading2"/>
      </w:pPr>
      <w:r>
        <w:t>Relevance to CSDA readers</w:t>
      </w:r>
    </w:p>
    <w:p>
      <w:r>
        <w:t xml:space="preserve">IONE sits between computational stratification diagnostics and model-based effect modification for individual participant data meta-analysis. C1 re-purposes the </w:t>
      </w:r>
      <m:oMath>
        <m:sSup>
          <m:e>
            <m:r>
              <m:t xml:space="preserve">I</m:t>
            </m:r>
          </m:e>
          <m:sup>
            <m:r>
              <m:t xml:space="preserve">2</m:t>
            </m:r>
          </m:sup>
        </m:sSup>
      </m:oMath>
      <w:r>
        <w:t xml:space="preserve"> statistic for discovered strata and W connects a partition to explained conditional average treatment effect variance. Both are descriptive sensitivity indices, not inferential tests. The empirical null distribution (Supplementary Table S5) calibrates the diagnostics under no true effect modification, and the misspecification sensitivity (Supplementary Table S6) checks whether </w:t>
      </w:r>
      <m:oMath>
        <m:sSub>
          <m:e>
            <m:r>
              <m:t xml:space="preserve">W</m:t>
            </m:r>
          </m:e>
          <m:sub>
            <m:r>
              <m:t xml:space="preserve">est</m:t>
            </m:r>
          </m:sub>
        </m:sSub>
      </m:oMath>
      <w:r>
        <w:t xml:space="preserve"> is robust to the outcome-model specification. The simulation code, analysis scripts and generated tables are publicly available so readers can reproduce every numerical result.</w:t>
      </w:r>
    </w:p>
    <w:p>
      <w:pPr>
        <w:pStyle w:val="Heading2"/>
      </w:pPr>
      <w:r>
        <w:t>Strengths and limitations</w:t>
      </w:r>
    </w:p>
    <w:p>
      <w:r/>
      <w:r>
        <w:rPr>
          <w:b/>
        </w:rPr>
        <w:t>Strengths.</w:t>
      </w:r>
      <w:r>
        <w:t xml:space="preserve"> The study followed ADEMP </w:t>
      </w:r>
      <w:r>
        <w:rPr>
          <w:vertAlign w:val="superscript"/>
        </w:rPr>
        <w:t>16</w:t>
      </w:r>
      <w:r>
        <w:t>, reported the data-generating mechanism and estimands transparently, and generated all numerical results from version-controlled repository scripts.</w:t>
      </w:r>
    </w:p>
    <w:p>
      <w:pPr>
        <w:spacing w:before="240"/>
      </w:pPr>
      <w:r/>
      <w:r>
        <w:rPr>
          <w:b/>
        </w:rPr>
        <w:t>Limitations.</w:t>
      </w:r>
      <w:r>
        <w:t xml:space="preserve"> The primary scenario used n=2000 and a moderate Z-to-X trace; sensitivity analyses examined K = 3, 5, 10, n = 500 to 10 000, Z-to-Y and Z-to-X scales, and a non-linear mapping, but performance may vary with stronger or 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be highly misleading (Supplementary Table S6). DerSimonian-Laird strata are not independent estimates, so the reported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serve as illustrations, not real-IPD validation.</w:t>
      </w:r>
    </w:p>
    <w:p>
      <w:pPr>
        <w:pStyle w:val="Heading1"/>
      </w:pPr>
      <w:r>
        <w:t>5. Conclusions</w:t>
      </w:r>
    </w:p>
    <w:p>
      <w:r>
        <w:t>IONE (Incoherence-Oriented Neutralisation and Extraction) is a descriptive sensitivity framework for hidden effect modification in IPD meta-analysis. Monte Carlo simulation and semi-synthetic examples show that the C1 and W diagnostics can flag incoherence, but they do not reliably separate the alternative data-generating mechanism from an empirical null in the primary scenario. When hidden variables leave strong traces in measured covariates, stratification can partially reduce ATE bias, but separating the data into the true hidden subgroups remains difficult. Conventional meta-analytic models and covariate adjustment should remain the primary analysis; C1 and W should be reported alongside them as sensitivity checks. Two concrete recommendations follow: (1) use C1 and W only as descriptive flags, not as inferential tests for hidden effect modification, and (2) pre-specify potential effect modifiers and reserve data-driven stratification for exploratory sensitivity analyses, not for decision-making.</w:t>
      </w:r>
    </w:p>
    <w:p>
      <w:r>
        <w:br w:type="page"/>
      </w:r>
    </w:p>
    <w:p>
      <w:pPr>
        <w:pStyle w:val="Heading1"/>
      </w:pPr>
      <w:r>
        <w:t>Declarations</w:t>
      </w:r>
    </w:p>
    <w:p>
      <w:pPr>
        <w:pStyle w:val="Heading2"/>
      </w:pPr>
      <w:r>
        <w:t>Ethics approval and consent to participate</w:t>
      </w:r>
    </w:p>
    <w:p>
      <w:r>
        <w:t>Not applicable. This study used simulated data and publicly available aggregate statistics only.</w:t>
      </w:r>
    </w:p>
    <w:p>
      <w:pPr>
        <w:pStyle w:val="Heading2"/>
      </w:pPr>
      <w:r>
        <w:t>Consent for publication</w:t>
      </w:r>
    </w:p>
    <w:p>
      <w:r>
        <w:t>Not applicable.</w:t>
      </w:r>
    </w:p>
    <w:p>
      <w:pPr>
        <w:pStyle w:val="Heading2"/>
      </w:pPr>
      <w:r>
        <w:t>Availability of data and materials</w:t>
      </w:r>
    </w:p>
    <w:p>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pPr>
      <w:r>
        <w:t>Competing interests</w:t>
      </w:r>
    </w:p>
    <w:p>
      <w:r>
        <w:t>The authors declare that they have no competing interests.</w:t>
      </w:r>
    </w:p>
    <w:p>
      <w:pPr>
        <w:pStyle w:val="Heading2"/>
      </w:pPr>
      <w:r>
        <w:t>Funding</w:t>
      </w:r>
    </w:p>
    <w:p>
      <w:r>
        <w:t>No external funding supported this work.</w:t>
      </w:r>
    </w:p>
    <w:p>
      <w:pPr>
        <w:pStyle w:val="Heading2"/>
      </w:pPr>
      <w:r>
        <w:t>Authors' contributions (CRediT taxonomy)</w:t>
      </w:r>
    </w:p>
    <w:p>
      <w:r>
        <w:t>Onishi Tatsuki: Conceptualisation, methodology, software, formal analysis, writing – original draft, writing – review and editing, visualisation.</w:t>
      </w:r>
    </w:p>
    <w:p>
      <w:pPr>
        <w:pStyle w:val="Heading2"/>
      </w:pPr>
      <w:r>
        <w:t>Acknowledgements</w:t>
      </w:r>
    </w:p>
    <w:p>
      <w:r>
        <w:t>Not applicable.</w:t>
      </w:r>
    </w:p>
    <w:p>
      <w:pPr>
        <w:pStyle w:val="Heading2"/>
      </w:pPr>
      <w:r>
        <w:t>Supplementary materials</w:t>
      </w:r>
    </w:p>
    <w:p>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csda_supplementary_v1.docx</w:t>
      </w:r>
      <w:r>
        <w:t>.</w:t>
      </w:r>
    </w:p>
    <w:p>
      <w:pPr>
        <w:pStyle w:val="Heading2"/>
      </w:pPr>
      <w:r>
        <w:t>Artificial intelligence</w:t>
      </w:r>
    </w:p>
    <w:p>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r>
        <w:br w:type="page"/>
      </w:r>
    </w:p>
    <w:p>
      <w:pPr>
        <w:pStyle w:val="Heading1"/>
      </w:pPr>
      <w:r>
        <w:t>References</w:t>
      </w:r>
    </w:p>
    <w:p>
      <w:r>
        <w:t>1. Borenstein M, Hedges LV, Higgins JPT, Rothstein HR. Introduction to Meta-Analysis. Chichester: John Wiley &amp; Sons; 2009. doi: 10.1002/9780470743386</w:t>
      </w:r>
    </w:p>
    <w:p>
      <w:r>
        <w:t>2. Riley RD, Lambert PC, Abo-Zaid G. Meta-analysis of individual participant data: rationale, conduct, and reporting. BMJ. 2010;340:c221. doi: 10.1136/bmj.c221</w:t>
      </w:r>
    </w:p>
    <w:p>
      <w:r>
        <w:t>3. Simmonds MC, Higgins JPT, Stewart LA, Tierney JF, Clarke MJ, Thompson SG. Meta-analysis of individual patient data from randomized trials: a review of methods used in practice. Clin Trials. 2005;2(3):209–217. doi: 10.1191/1740774505cn087oa</w:t>
      </w:r>
    </w:p>
    <w:p>
      <w:r>
        <w:t>4. DerSimonian R, Laird N. Meta-analysis in clinical trials. Control Clin Trials. 1986;7(3):177–188. doi: 10.1016/0197-2456(86)90046-2</w:t>
      </w:r>
    </w:p>
    <w:p>
      <w:r>
        <w:t>5. Higgins JPT, Thompson SG. Quantifying heterogeneity in a meta-analysis. Stat Med. 2002;21(11):1539–1558. doi: 10.1002/sim.1186</w:t>
      </w:r>
    </w:p>
    <w:p>
      <w:r>
        <w:t>6. Riley RD, Higgins JPT, Deeks JJ. Interpretation of random effects meta-analyses. BMJ. 2011;342:d549.</w:t>
      </w:r>
    </w:p>
    <w:p>
      <w:r>
        <w:t>7. Pearl J. Causality. 2nd ed. Cambridge: Cambridge University Press; 2009. doi: 10.1017/cbo9780511803161</w:t>
      </w:r>
    </w:p>
    <w:p>
      <w:r>
        <w:t>8. Greenland S, Robins JM, Pearl J. Confounding and collapsibility in causal inference. Stat Sci. 1999;14(1):29–46. doi: 10.1214/ss/1009211805</w:t>
      </w:r>
    </w:p>
    <w:p>
      <w:r>
        <w:t>9. Simpson EH. The interpretation of interaction in contingency tables. J R Stat Soc Ser B. 1951;13(2):238–241. doi: 10.1111/j.2517-6161.1951.tb00088.x</w:t>
      </w:r>
    </w:p>
    <w:p>
      <w:r>
        <w:t>10. Rojanaworarit C. Misleading epidemiological and statistical evidence in the presence of Simpson's paradox: an illustrative study using simulated scenarios. J Med Life. 2020;13(1):37–44.</w:t>
      </w:r>
    </w:p>
    <w:p>
      <w:r>
        <w:t>11. Charig CR, Webb DR, Payne SR, Wickham JE. Comparison of treatment of renal calculi by open surgery, percutaneous nephrolithotomy, and extracorporeal shockwave lithotripsy. BMJ. 1986;292(6521):879–882.</w:t>
      </w:r>
    </w:p>
    <w:p>
      <w:r>
        <w:t>12. Bickel PJ, Hammel EA, O'Connell JW. Sex bias in graduate admissions: data from Berkeley. Science. 1975;187(4175):398–404.</w:t>
      </w:r>
    </w:p>
    <w:p>
      <w:r>
        <w:t>13. von Kügelgen J, Gresele L, Schölkopf B. Simpson's paradox in Covid-19 case fatality rates: a mediation analysis of age-related causal effects. IEEE Trans Artif Intell. 2021;2(1):18–27.</w:t>
      </w:r>
    </w:p>
    <w:p>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w:t>
      </w:r>
    </w:p>
    <w:p>
      <w:r>
        <w:t>15. Appleton DR, French NR, Vanderpump MP. Ignoring a covariate: an example of Simpson's paradox. Am Stat. 1996;50(4):340–341.</w:t>
      </w:r>
    </w:p>
    <w:p>
      <w:r>
        <w:t>16. Morris TP, White IR, Crowther MJ. Using simulation studies to evaluate statistical methods. Stat Med. 2019;38(11):2074–2102. doi: 10.1002/sim.8086</w:t>
      </w:r>
    </w:p>
    <w:p>
      <w:r>
        <w:t>17. Rosenbaum PR, Rubin DB. The central role of the propensity score in observational studies for causal effects. Biometrika. 1983;70(1):41–55. doi: 10.1093/biomet/70.1.41</w:t>
      </w:r>
    </w:p>
    <w:p>
      <w:r>
        <w:t>18. McLachlan GJ, Peel D. Finite Mixture Models. New York: Wiley; 2000. doi: 10.1002/0471721182</w:t>
      </w:r>
    </w:p>
    <w:p>
      <w:r>
        <w:t>19. Hansen BB. The prognostic analogue of the propensity score. Biometrika. 2008;95(2):481–488. doi: 10.1093/biomet/asn004</w:t>
      </w:r>
    </w:p>
    <w:p>
      <w:r>
        <w:t>20. Hubert L, Arabie P. Comparing partitions. J Classif. 1985;2(1):193–218. doi: 10.1007/bf01908075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