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Coherence diagnostics for hidden effect modification in individual participant data meta-analysis: IONE (Incoherence-Oriented Neutralisation and Extraction) and a simulation benchmark of stratification approaches</w:t>
      </w:r>
    </w:p>
    <w:p>
      <w:pPr>
        <w:spacing w:line="480" w:lineRule="auto"/>
      </w:pPr>
      <w:r>
        <w:br w:type="page"/>
      </w:r>
    </w:p>
    <w:p>
      <w:pPr>
        <w:pStyle w:val="Heading1"/>
        <w:spacing w:line="480" w:lineRule="auto"/>
      </w:pPr>
      <w:r>
        <w:t>Abstract</w:t>
      </w:r>
    </w:p>
    <w:p>
      <w:pPr>
        <w:spacing w:line="480" w:lineRule="auto"/>
      </w:pPr>
      <w:r/>
      <w:r>
        <w:rPr>
          <w:b/>
        </w:rPr>
        <w:t>Background:</w:t>
      </w:r>
      <w:r>
        <w:t xml:space="preserve"> In individual participant data (IPD) meta-analysis, marginal effect estimates can be biased by hidden effect modifiers. We introduce two coherence diagnostics, C1 and W, and present a reproducible simulation benchmark of seven stratification approaches.</w:t>
      </w:r>
    </w:p>
    <w:p>
      <w:pPr>
        <w:spacing w:line="480" w:lineRule="auto"/>
      </w:pPr>
      <w:r/>
      <w:r>
        <w:rPr>
          <w:b/>
        </w:rPr>
        <w:t>Methods:</w:t>
      </w:r>
      <w:r>
        <w:t xml:space="preserve"> We simulated an IPD meta-analysis with 10 studies and n=2000 participants, binary treatment and outcome, measured covariates carrying traces of an unmeasured modifier, and study-level variation in baseline risk and treatment prevalence. Seven methods—two outcome-informed, two outcome-free, propensity-score, prognostic-score and Gaussian-mixture stratification—were compared; stratum-specific risk differences were synthesised with fixed-effect and DerSimonian-Laird random-effects meta-analysis. We report ARI, C1, W and ATE bias reduction, calibrating the diagnostics against empirical null distributions.</w:t>
      </w:r>
    </w:p>
    <w:p>
      <w:pPr>
        <w:spacing w:line="480" w:lineRule="auto"/>
      </w:pPr>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The residual-based method achieved the largest random-effects ATE bias reduction (from 0.01865 to 0.00816; relative reduction 0.563). Its absolute bias plateaued near 0.00824 (n=500), 0.00852 (n=2000) and 0.00864 (n=10 000), indicating a structural bias floor that persists as sample size increases.</w:t>
      </w:r>
    </w:p>
    <w:p>
      <w:pPr>
        <w:spacing w:line="480" w:lineRule="auto"/>
      </w:pPr>
      <w:r/>
      <w:r>
        <w:rPr>
          <w:b/>
        </w:rPr>
        <w:t>Conclusions:</w:t>
      </w:r>
      <w:r>
        <w:t xml:space="preserve"> IONE is a descriptive sensitivity framework, not an inferential test for hidden effect modification. The benchmark shows that data-driven stratification can reduce marginal ATE bias when measured covariates carry strong traces of hidden effect modification, but C1 and W must be interpreted relative to method-specific empirical nulls and are not standalone decision criteria.</w:t>
      </w:r>
    </w:p>
    <w:p>
      <w:pPr>
        <w:spacing w:line="480" w:lineRule="auto"/>
      </w:pPr>
      <w:r/>
      <w:r>
        <w:rPr>
          <w:b/>
        </w:rPr>
        <w:t>Keywords:</w:t>
      </w:r>
      <w:r>
        <w:t xml:space="preserve"> individual participant data meta-analysis; evidence synthesis; heterogeneity; hidden effect modification; stratification; simulation</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pPr>
        <w:spacing w:line="480" w:lineRule="auto"/>
      </w:pPr>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pPr>
        <w:spacing w:line="480" w:lineRule="auto"/>
      </w:pPr>
      <w:r>
        <w:t>Because the finite-sample distributions of discovered-stratum risk differences depend on the unknown joint distribution of unmeasured modifiers and measured covariates, closed-form theoretical comparisons of the competing stratification methods are not available. We therefore use an ADEMP-based simulation benchmark to quantify relative performance and the operating characteristics of C1 and W.</w:t>
      </w:r>
    </w:p>
    <w:p>
      <w:pPr>
        <w:pStyle w:val="Heading1"/>
        <w:spacing w:line="480" w:lineRule="auto"/>
      </w:pPr>
      <w:r>
        <w:t>2. Methods</w:t>
      </w:r>
    </w:p>
    <w:p>
      <w:pPr>
        <w:spacing w:line="480" w:lineRule="auto"/>
      </w:pPr>
      <w:r>
        <w:t xml:space="preserve">This simulation study follows the ADEMP framework </w:t>
      </w:r>
      <w:r>
        <w:rPr>
          <w:vertAlign w:val="superscript"/>
        </w:rPr>
        <w:t>16</w:t>
      </w:r>
      <w:r>
        <w:t>.</w:t>
      </w:r>
    </w:p>
    <w:p>
      <w:pPr>
        <w:pStyle w:val="Heading2"/>
        <w:spacing w:line="480" w:lineRule="auto"/>
      </w:pPr>
      <w:r>
        <w:t>Aims</w:t>
      </w:r>
    </w:p>
    <w:p>
      <w:pPr>
        <w:spacing w:line="480" w:lineRule="auto"/>
      </w:pPr>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pPr>
        <w:spacing w:line="480" w:lineRule="auto"/>
      </w:pPr>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spacing w:line="480" w:lineRule="auto"/>
      </w:pPr>
      <w:r>
        <w:t>Study-level meta-analysis benchmark</w:t>
      </w:r>
    </w:p>
    <w:p>
      <w:pPr>
        <w:spacing w:line="480" w:lineRule="auto"/>
      </w:pPr>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spacing w:line="480" w:lineRule="auto"/>
      </w:pPr>
      <w:r>
        <w:t>Evaluation metrics</w:t>
      </w:r>
    </w:p>
    <w:p>
      <w:pPr>
        <w:pStyle w:val="Heading3"/>
        <w:spacing w:line="480" w:lineRule="auto"/>
      </w:pPr>
      <w:r>
        <w:t>Formal definitions</w:t>
      </w:r>
    </w:p>
    <w:p>
      <w:pPr>
        <w:spacing w:line="480" w:lineRule="auto"/>
      </w:pPr>
      <w:r>
        <w:t xml:space="preserve">For a stratification with K strata, let theta_k be the stratum-specific log odds ratio and </w:t>
      </w:r>
      <m:oMath>
        <m:sSup>
          <m:e>
            <m:r>
              <m:t xml:space="preserve">τ</m:t>
            </m:r>
          </m:e>
          <m:sup>
            <m:r>
              <m:t xml:space="preserve">2</m:t>
            </m:r>
          </m:sup>
        </m:sSup>
      </m:oMath>
      <w:r>
        <w:t xml:space="preserve"> the DerSimonian-Laird between-stratum variance. Let v_w denote a typical within-stratum sampling variance. Then</w:t>
      </w:r>
    </w:p>
    <w:p>
      <w:pPr>
        <w:spacing w:line="480" w:lineRule="auto"/>
      </w:pPr>
      <m:oMath>
        <m:r>
          <m:t xml:space="preserve">C1 = 1 - </m:t>
        </m:r>
        <m:sSup>
          <m:e>
            <m:r>
              <m:t xml:space="preserve">I</m:t>
            </m:r>
          </m:e>
          <m:sup>
            <m:r>
              <m:t xml:space="preserve">2</m:t>
            </m:r>
          </m:sup>
        </m:sSup>
        <m:r>
          <m:t xml:space="preserve"> = 1 - </m:t>
        </m:r>
        <m:f>
          <m:num>
            <m:sSup>
              <m:e>
                <m:r>
                  <m:t xml:space="preserve">τ</m:t>
                </m:r>
              </m:e>
              <m:sup>
                <m:r>
                  <m:t xml:space="preserve">2</m:t>
                </m:r>
              </m:sup>
            </m:sSup>
          </m:num>
          <m:den>
            <m:sSup>
              <m:e>
                <m:r>
                  <m:t xml:space="preserve">τ</m:t>
                </m:r>
              </m:e>
              <m:sup>
                <m:r>
                  <m:t xml:space="preserve">2</m:t>
                </m:r>
              </m:sup>
            </m:sSup>
            <m:r>
              <m:t xml:space="preserve"> + </m:t>
            </m:r>
            <m:sSub>
              <m:e>
                <m:r>
                  <m:t xml:space="preserve">v</m:t>
                </m:r>
              </m:e>
              <m:sub>
                <m:r>
                  <m:t xml:space="preserve">w</m:t>
                </m:r>
              </m:sub>
            </m:sSub>
          </m:den>
        </m:f>
      </m:oMath>
      <w:r>
        <w:t xml:space="preserve">,</w:t>
      </w:r>
    </w:p>
    <w:p>
      <w:pPr>
        <w:spacing w:line="480" w:lineRule="auto"/>
      </w:pPr>
      <w:r>
        <w:t>where lower C1 indicates greater between-stratum heterogeneity of stratum-specific log odds ratios. For estimated individual CATEs tau(X_i), let tau_k be the mean CATE in stratum k and tau the overall mean. The proportion of total CATE variance explained by the stratification is</w:t>
      </w:r>
    </w:p>
    <w:p>
      <w:pPr>
        <w:spacing w:line="480" w:lineRule="auto"/>
      </w:pPr>
      <m:oMath>
        <m:r>
          <m:t xml:space="preserve">W = </m:t>
        </m:r>
        <m:f>
          <m:num>
            <m:sSub>
              <m:e>
                <m:r>
                  <m:t xml:space="preserve">Σ</m:t>
                </m:r>
              </m:e>
              <m:sub>
                <m:r>
                  <m:t xml:space="preserve">k</m:t>
                </m:r>
              </m:sub>
            </m:sSub>
            <m:r>
              <m:t xml:space="preserve"> </m:t>
            </m:r>
            <m:sSub>
              <m:e>
                <m:r>
                  <m:t xml:space="preserve">n</m:t>
                </m:r>
              </m:e>
              <m:sub>
                <m:r>
                  <m:t xml:space="preserve">k</m:t>
                </m:r>
              </m:sub>
            </m:sSub>
            <m:r>
              <m:t xml:space="preserve"> </m:t>
            </m:r>
            <m:sSup>
              <m:e>
                <m:r>
                  <m:t xml:space="preserve">(</m:t>
                </m:r>
                <m:sSub>
                  <m:e>
                    <m:r>
                      <m:t xml:space="preserve">τ</m:t>
                    </m:r>
                  </m:e>
                  <m:sub>
                    <m:r>
                      <m:t xml:space="preserve">k</m:t>
                    </m:r>
                  </m:sub>
                </m:sSub>
                <m:r>
                  <m:t xml:space="preserve"> - </m:t>
                </m:r>
                <m:r>
                  <m:t xml:space="preserve">τ</m:t>
                </m:r>
                <m:r>
                  <m:t xml:space="preserve">)</m:t>
                </m:r>
              </m:e>
              <m:sup>
                <m:r>
                  <m:t xml:space="preserve">2</m:t>
                </m:r>
              </m:sup>
            </m:sSup>
          </m:num>
          <m:den>
            <m:sSub>
              <m:e>
                <m:r>
                  <m:t xml:space="preserve">Σ</m:t>
                </m:r>
              </m:e>
              <m:sub>
                <m:r>
                  <m:t xml:space="preserve">i</m:t>
                </m:r>
              </m:sub>
            </m:sSub>
            <m:r>
              <m:t xml:space="preserve"> </m:t>
            </m:r>
            <m:sSup>
              <m:e>
                <m:r>
                  <m:t xml:space="preserve">(</m:t>
                </m:r>
                <m:sSub>
                  <m:e>
                    <m:r>
                      <m:t xml:space="preserve">τ</m:t>
                    </m:r>
                  </m:e>
                  <m:sub>
                    <m:r>
                      <m:t xml:space="preserve">i</m:t>
                    </m:r>
                  </m:sub>
                </m:sSub>
                <m:r>
                  <m:t xml:space="preserve"> - </m:t>
                </m:r>
                <m:r>
                  <m:t xml:space="preserve">τ</m:t>
                </m:r>
                <m:r>
                  <m:t xml:space="preserve">)</m:t>
                </m:r>
              </m:e>
              <m:sup>
                <m:r>
                  <m:t xml:space="preserve">2</m:t>
                </m:r>
              </m:sup>
            </m:sSup>
          </m:den>
        </m:f>
      </m:oMath>
      <w:r>
        <w:t xml:space="preserve">,</w:t>
      </w:r>
    </w:p>
    <w:p>
      <w:pPr>
        <w:spacing w:line="480" w:lineRule="auto"/>
      </w:pPr>
      <w:r>
        <w:t>where the numerator is the between-stratum variance weighted by stratum size and the denominator is the total variance of estimated individual CATEs. Both C1 and W are descriptive indices; they flag incoherence but are not inferential tests for hidden effect modification.</w:t>
      </w:r>
    </w:p>
    <w:p>
      <w:pPr>
        <w:spacing w:line="480" w:lineRule="auto"/>
      </w:pPr>
      <w:r/>
      <w:r>
        <w:rPr>
          <w:b/>
        </w:rPr>
        <w:t>ARI</w:t>
      </w:r>
      <w:r>
        <w:t xml:space="preserve"> </w:t>
      </w:r>
      <w:r>
        <w:rPr>
          <w:vertAlign w:val="superscript"/>
        </w:rPr>
        <w:t>20</w:t>
      </w:r>
      <w:r>
        <w:t>: agreement between estimated strata and an operational approximation of the true-Z partition, corrected for chance. Because the true hidden modifier is multidimensional and has no unique clinical representation, the reference partition was formed by k-means clustering of standardised Z-space into K strata. ARI therefore measures how well a method recovers this k-means approximation, not recovery of a clinically validated true subgroup structure. Values near zero indicate chance agreement; the Oracle and true-CATE-quantile references provide computational upper bounds relative to this approximation.</w:t>
      </w:r>
    </w:p>
    <w:p>
      <w:pPr>
        <w:spacing w:line="480" w:lineRule="auto"/>
      </w:pPr>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pPr>
        <w:spacing w:line="480" w:lineRule="auto"/>
      </w:pPr>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pPr>
        <w:spacing w:line="480" w:lineRule="auto"/>
      </w:pPr>
      <w:r/>
      <w:r>
        <w:rPr>
          <w:b/>
        </w:rPr>
        <w:t>ATE bias reduction:</w:t>
      </w:r>
      <w:r>
        <w:t xml:space="preserve"> absolute differences between crude, stratified and random-effects estimates, plus relative ratios. Monte Carlo SE and 95% CI accompany every mean.</w:t>
      </w:r>
    </w:p>
    <w:p>
      <w:pPr>
        <w:pStyle w:val="Heading2"/>
        <w:spacing w:line="480" w:lineRule="auto"/>
      </w:pPr>
      <w:r>
        <w:t>Empirical null distribution and null-centred reporting</w:t>
      </w:r>
    </w:p>
    <w:p>
      <w:pPr>
        <w:spacing w:line="480" w:lineRule="auto"/>
      </w:pPr>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spacing w:line="480" w:lineRule="auto"/>
      </w:pPr>
      <w:r>
        <w:t>Diagnostic calibration using the empirical null</w:t>
      </w:r>
    </w:p>
    <w:p>
      <w:pPr>
        <w:spacing w:line="480" w:lineRule="auto"/>
      </w:pPr>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spacing w:line="480" w:lineRule="auto"/>
      </w:pPr>
      <w:r>
        <w:t>True-CATE-quantile oracle reference</w:t>
      </w:r>
    </w:p>
    <w:p>
      <w:pPr>
        <w:spacing w:line="480" w:lineRule="auto"/>
      </w:pPr>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spacing w:line="480" w:lineRule="auto"/>
      </w:pPr>
      <w:r>
        <w:t>Computational implementation</w:t>
      </w:r>
    </w:p>
    <w:p>
      <w:pPr>
        <w:spacing w:line="480" w:lineRule="auto"/>
      </w:pPr>
      <w:r>
        <w:t xml:space="preserve">All simulations and manuscript generation were implemented in Python 3.11 using NumPy 2.x, SciPy, scikit-learn 1.5, pandas, statsmodels and python-docx. Pseudo-random numbers were generated with </w:t>
      </w:r>
      <w:r>
        <w:rPr>
          <w:rFonts w:ascii="Courier New" w:hAnsi="Courier New"/>
        </w:rPr>
        <w:t>numpy.random.default_rng</w:t>
      </w:r>
      <w:r>
        <w:t xml:space="preserve">, with independent seeds for each replication and scenario stored in the repository scripts and </w:t>
      </w:r>
      <w:r>
        <w:rPr>
          <w:rFonts w:ascii="Courier New" w:hAnsi="Courier New"/>
        </w:rPr>
        <w:t>results/summary/</w:t>
      </w:r>
      <w:r>
        <w:t xml:space="preserve"> metadata. Stratification used quantile-based equal-frequency bins, k-means clustering (scikit-learn, 10 random initializations, maximum 300 iterations) and Gaussian mixture models (scikit-learn, full covariance, 10 EM initializations, maximum 100 iterations). Logistic regressions were fit with </w:t>
      </w:r>
      <w:r>
        <w:rPr>
          <w:rFonts w:ascii="Courier New" w:hAnsi="Courier New"/>
        </w:rPr>
        <w:t>scikit-learn.linear_model.LogisticRegression</w:t>
      </w:r>
      <w:r>
        <w:t xml:space="preserve"> (L2 penalty, C=1.0, lbfgs solver, maximum 1000 iterations). DerSimonian-Laird random-effects summaries used </w:t>
      </w:r>
      <w:r>
        <w:rPr>
          <w:rFonts w:ascii="Courier New" w:hAnsi="Courier New"/>
        </w:rPr>
        <w:t>statsmodels.stats.meta_analysis</w:t>
      </w:r>
      <w:r>
        <w:t xml:space="preserve">. The primary scenario required approximately 5–10 minutes of wall-clock time on a single modern CPU core; the full benchmark—primary scenario, strata/sample-size/Z-to-X/Z-to-Y sensitivities, 200-replication empirical null, </w:t>
      </w:r>
      <m:oMath>
        <m:sSub>
          <m:e>
            <m:r>
              <m:t xml:space="preserve">W</m:t>
            </m:r>
          </m:e>
          <m:sub>
            <m:r>
              <m:t xml:space="preserve">est</m:t>
            </m:r>
          </m:sub>
        </m:sSub>
      </m:oMath>
      <w:r>
        <w:t xml:space="preserve"> misspecification and semi-synthetic illustrations—completed in approximately 2–3 hours on a single core. Exact dependency versions are pinned in </w:t>
      </w:r>
      <w:r>
        <w:rPr>
          <w:rFonts w:ascii="Courier New" w:hAnsi="Courier New"/>
        </w:rPr>
        <w:t>requirements-lock.txt</w:t>
      </w:r>
      <w:r>
        <w:t xml:space="preserve"> and the code commit used for the submission package is recorded in </w:t>
      </w:r>
      <w:r>
        <w:rPr>
          <w:rFonts w:ascii="Courier New" w:hAnsi="Courier New"/>
        </w:rPr>
        <w:t>results/commit_hash.txt</w:t>
      </w:r>
      <w:r>
        <w:t>.</w:t>
      </w:r>
    </w:p>
    <w:p>
      <w:pPr>
        <w:pStyle w:val="Heading2"/>
        <w:spacing w:line="480" w:lineRule="auto"/>
      </w:pPr>
      <w:r>
        <w:t>Reporting and reproducibility</w:t>
      </w:r>
    </w:p>
    <w:p>
      <w:pPr>
        <w:spacing w:line="480" w:lineRule="auto"/>
      </w:pPr>
      <w:r>
        <w:t xml:space="preserve">The design followed ADEMP </w:t>
      </w:r>
      <w:r>
        <w:rPr>
          <w:vertAlign w:val="superscript"/>
        </w:rPr>
        <w:t>16</w:t>
      </w:r>
      <w:r>
        <w:t xml:space="preserve">; checklists are in Additional files 2 and 3. The pipeline is version-controlled and every manuscript number is read from repository CSV outputs. </w:t>
      </w:r>
      <w:r>
        <w:rPr>
          <w:rFonts w:ascii="Courier New" w:hAnsi="Courier New"/>
        </w:rPr>
        <w:t>generate_summary.py</w:t>
      </w:r>
      <w:r>
        <w:t xml:space="preserve">, </w:t>
      </w:r>
      <w:r>
        <w:rPr>
          <w:rFonts w:ascii="Courier New" w:hAnsi="Courier New"/>
        </w:rPr>
        <w:t>generate_rsm_tables.py</w:t>
      </w:r>
      <w:r>
        <w:t xml:space="preserve"> and </w:t>
      </w:r>
      <w:r>
        <w:rPr>
          <w:rFonts w:ascii="Courier New" w:hAnsi="Courier New"/>
        </w:rPr>
        <w:t>generate_ione_rsm_v3.py</w:t>
      </w:r>
      <w:r>
        <w:t xml:space="preserve"> regenerate all results, figures, tables and submission files in a Python 3.11 environment with the pinned dependencies.</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Agreement with the operational k-means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1C_cv_decision</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line="480" w:lineRule="auto"/>
      </w:pPr>
      <w:r>
        <w:t>Figure 1 visualises the primary scenario across methods.</w:t>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0.644</w:t>
            </w:r>
          </w:p>
        </w:tc>
        <w:tc>
          <w:tcPr>
            <w:tcW w:type="dxa" w:w="1234"/>
          </w:tcPr>
          <w:p>
            <w:pPr>
              <w:spacing w:line="276" w:lineRule="auto"/>
            </w:pPr>
            <w:r>
              <w:t>1.000</w:t>
            </w:r>
          </w:p>
        </w:tc>
        <w:tc>
          <w:tcPr>
            <w:tcW w:type="dxa" w:w="1234"/>
          </w:tcPr>
          <w:p>
            <w:pPr>
              <w:spacing w:line="276" w:lineRule="auto"/>
            </w:pPr>
            <w:r>
              <w:t>0.557</w:t>
            </w:r>
          </w:p>
        </w:tc>
        <w:tc>
          <w:tcPr>
            <w:tcW w:type="dxa" w:w="1234"/>
          </w:tcPr>
          <w:p>
            <w:pPr>
              <w:spacing w:line="276" w:lineRule="auto"/>
            </w:pPr>
            <w:r>
              <w:t>0.001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line="480" w:lineRule="auto"/>
      </w:pPr>
      <w:r>
        <w:t>Figure 3 displays ARI by dataset and method for the semi-synthetic examples.</w:t>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remove the estimable part of confounding-driven aggregation bias, but it cannot fully adjust for unmodelled hidden effect modification.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line="480" w:lineRule="auto"/>
      </w:pPr>
      <w:r>
        <w:t>Figure 5 shows random-effects ATE bias reduction under the non-linear mapping.</w:t>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2"/>
        <w:spacing w:line="480" w:lineRule="auto"/>
      </w:pPr>
      <w:r>
        <w:t>Diagnostic discrimination against the empirical null</w:t>
      </w:r>
    </w:p>
    <w:p>
      <w:pPr>
        <w:spacing w:line="480" w:lineRule="auto"/>
      </w:pPr>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76" w:lineRule="auto"/>
            </w:pPr>
            <w:r>
              <w:rPr>
                <w:b/>
              </w:rPr>
              <w:t>Method</w:t>
            </w:r>
          </w:p>
        </w:tc>
        <w:tc>
          <w:tcPr>
            <w:tcW w:type="dxa" w:w="1728"/>
          </w:tcPr>
          <w:p>
            <w:pPr>
              <w:spacing w:line="276" w:lineRule="auto"/>
            </w:pPr>
            <w:r>
              <w:rPr>
                <w:b/>
              </w:rPr>
              <w:t>C1 AUC</w:t>
            </w:r>
          </w:p>
        </w:tc>
        <w:tc>
          <w:tcPr>
            <w:tcW w:type="dxa" w:w="1728"/>
          </w:tcPr>
          <w:p>
            <w:pPr>
              <w:spacing w:line="276" w:lineRule="auto"/>
            </w:pPr>
            <w:r>
              <w:rPr>
                <w:b/>
              </w:rPr>
              <w:t>C1 TPR@5% FPR</w:t>
            </w:r>
          </w:p>
        </w:tc>
        <w:tc>
          <w:tcPr>
            <w:tcW w:type="dxa" w:w="1728"/>
          </w:tcPr>
          <w:p>
            <w:pPr>
              <w:spacing w:line="276" w:lineRule="auto"/>
            </w:pPr>
            <m:oMath>
              <m:sSub>
                <m:e>
                  <m:r>
                    <m:t xml:space="preserve">W</m:t>
                  </m:r>
                </m:e>
                <m:sub>
                  <m:r>
                    <m:t xml:space="preserve">est</m:t>
                  </m:r>
                </m:sub>
              </m:sSub>
            </m:oMath>
            <w:r>
              <w:rPr>
                <w:b/>
              </w:rPr>
              <w:t xml:space="preserve"> AUC</w:t>
            </w:r>
          </w:p>
        </w:tc>
        <w:tc>
          <w:tcPr>
            <w:tcW w:type="dxa" w:w="1728"/>
          </w:tcPr>
          <w:p>
            <w:pPr>
              <w:spacing w:line="276" w:lineRule="auto"/>
            </w:pPr>
            <m:oMath>
              <m:sSub>
                <m:e>
                  <m:r>
                    <m:t xml:space="preserve">W</m:t>
                  </m:r>
                </m:e>
                <m:sub>
                  <m:r>
                    <m:t xml:space="preserve">est</m:t>
                  </m:r>
                </m:sub>
              </m:sSub>
            </m:oMath>
            <w:r>
              <w:rPr>
                <w:b/>
              </w:rPr>
              <w:t xml:space="preserve"> TPR@5% FPR</w:t>
            </w:r>
          </w:p>
        </w:tc>
      </w:tr>
      <w:tr>
        <w:tc>
          <w:tcPr>
            <w:tcW w:type="dxa" w:w="1728"/>
          </w:tcPr>
          <w:p>
            <w:pPr>
              <w:spacing w:line="276" w:lineRule="auto"/>
            </w:pPr>
            <w:r>
              <w:t>1A_predicted_prob</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1B_residual</w:t>
            </w:r>
          </w:p>
        </w:tc>
        <w:tc>
          <w:tcPr>
            <w:tcW w:type="dxa" w:w="1728"/>
          </w:tcPr>
          <w:p>
            <w:pPr>
              <w:spacing w:line="276" w:lineRule="auto"/>
            </w:pPr>
            <w:r>
              <w:t>0.460</w:t>
            </w:r>
          </w:p>
        </w:tc>
        <w:tc>
          <w:tcPr>
            <w:tcW w:type="dxa" w:w="1728"/>
          </w:tcPr>
          <w:p>
            <w:pPr>
              <w:spacing w:line="276" w:lineRule="auto"/>
            </w:pPr>
            <w:r>
              <w:t>0.060</w:t>
            </w:r>
          </w:p>
        </w:tc>
        <w:tc>
          <w:tcPr>
            <w:tcW w:type="dxa" w:w="1728"/>
          </w:tcPr>
          <w:p>
            <w:pPr>
              <w:spacing w:line="276" w:lineRule="auto"/>
            </w:pPr>
            <w:r>
              <w:t>0.542</w:t>
            </w:r>
          </w:p>
        </w:tc>
        <w:tc>
          <w:tcPr>
            <w:tcW w:type="dxa" w:w="1728"/>
          </w:tcPr>
          <w:p>
            <w:pPr>
              <w:spacing w:line="276" w:lineRule="auto"/>
            </w:pPr>
            <w:r>
              <w:t>0.060</w:t>
            </w:r>
          </w:p>
        </w:tc>
      </w:tr>
      <w:tr>
        <w:tc>
          <w:tcPr>
            <w:tcW w:type="dxa" w:w="1728"/>
          </w:tcPr>
          <w:p>
            <w:pPr>
              <w:spacing w:line="276" w:lineRule="auto"/>
            </w:pPr>
            <w:r>
              <w:t>1C_cv_decision</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2A_PCA_cum60</w:t>
            </w:r>
          </w:p>
        </w:tc>
        <w:tc>
          <w:tcPr>
            <w:tcW w:type="dxa" w:w="1728"/>
          </w:tcPr>
          <w:p>
            <w:pPr>
              <w:spacing w:line="276" w:lineRule="auto"/>
            </w:pPr>
            <w:r>
              <w:t>0.464</w:t>
            </w:r>
          </w:p>
        </w:tc>
        <w:tc>
          <w:tcPr>
            <w:tcW w:type="dxa" w:w="1728"/>
          </w:tcPr>
          <w:p>
            <w:pPr>
              <w:spacing w:line="276" w:lineRule="auto"/>
            </w:pPr>
            <w:r>
              <w:t>0.060</w:t>
            </w:r>
          </w:p>
        </w:tc>
        <w:tc>
          <w:tcPr>
            <w:tcW w:type="dxa" w:w="1728"/>
          </w:tcPr>
          <w:p>
            <w:pPr>
              <w:spacing w:line="276" w:lineRule="auto"/>
            </w:pPr>
            <w:r>
              <w:t>0.490</w:t>
            </w:r>
          </w:p>
        </w:tc>
        <w:tc>
          <w:tcPr>
            <w:tcW w:type="dxa" w:w="1728"/>
          </w:tcPr>
          <w:p>
            <w:pPr>
              <w:spacing w:line="276" w:lineRule="auto"/>
            </w:pPr>
            <w:r>
              <w:t>0.060</w:t>
            </w:r>
          </w:p>
        </w:tc>
      </w:tr>
      <w:tr>
        <w:tc>
          <w:tcPr>
            <w:tcW w:type="dxa" w:w="1728"/>
          </w:tcPr>
          <w:p>
            <w:pPr>
              <w:spacing w:line="276" w:lineRule="auto"/>
            </w:pPr>
            <w:r>
              <w:t>2B_clustering</w:t>
            </w:r>
          </w:p>
        </w:tc>
        <w:tc>
          <w:tcPr>
            <w:tcW w:type="dxa" w:w="1728"/>
          </w:tcPr>
          <w:p>
            <w:pPr>
              <w:spacing w:line="276" w:lineRule="auto"/>
            </w:pPr>
            <w:r>
              <w:t>0.545</w:t>
            </w:r>
          </w:p>
        </w:tc>
        <w:tc>
          <w:tcPr>
            <w:tcW w:type="dxa" w:w="1728"/>
          </w:tcPr>
          <w:p>
            <w:pPr>
              <w:spacing w:line="276" w:lineRule="auto"/>
            </w:pPr>
            <w:r>
              <w:t>0.020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GMM</w:t>
            </w:r>
          </w:p>
        </w:tc>
        <w:tc>
          <w:tcPr>
            <w:tcW w:type="dxa" w:w="1728"/>
          </w:tcPr>
          <w:p>
            <w:pPr>
              <w:spacing w:line="276" w:lineRule="auto"/>
            </w:pPr>
            <w:r>
              <w:t>0.489</w:t>
            </w:r>
          </w:p>
        </w:tc>
        <w:tc>
          <w:tcPr>
            <w:tcW w:type="dxa" w:w="1728"/>
          </w:tcPr>
          <w:p>
            <w:pPr>
              <w:spacing w:line="276" w:lineRule="auto"/>
            </w:pPr>
            <w:r>
              <w:t>0.060</w:t>
            </w:r>
          </w:p>
        </w:tc>
        <w:tc>
          <w:tcPr>
            <w:tcW w:type="dxa" w:w="1728"/>
          </w:tcPr>
          <w:p>
            <w:pPr>
              <w:spacing w:line="276" w:lineRule="auto"/>
            </w:pPr>
            <w:r>
              <w:t>0.561</w:t>
            </w:r>
          </w:p>
        </w:tc>
        <w:tc>
          <w:tcPr>
            <w:tcW w:type="dxa" w:w="1728"/>
          </w:tcPr>
          <w:p>
            <w:pPr>
              <w:spacing w:line="276" w:lineRule="auto"/>
            </w:pPr>
            <w:r>
              <w:t>0.080</w:t>
            </w:r>
          </w:p>
        </w:tc>
      </w:tr>
      <w:tr>
        <w:tc>
          <w:tcPr>
            <w:tcW w:type="dxa" w:w="1728"/>
          </w:tcPr>
          <w:p>
            <w:pPr>
              <w:spacing w:line="276" w:lineRule="auto"/>
            </w:pPr>
            <w:r>
              <w:t>PS_propensity_score</w:t>
            </w:r>
          </w:p>
        </w:tc>
        <w:tc>
          <w:tcPr>
            <w:tcW w:type="dxa" w:w="1728"/>
          </w:tcPr>
          <w:p>
            <w:pPr>
              <w:spacing w:line="276" w:lineRule="auto"/>
            </w:pPr>
            <w:r>
              <w:t>0.481</w:t>
            </w:r>
          </w:p>
        </w:tc>
        <w:tc>
          <w:tcPr>
            <w:tcW w:type="dxa" w:w="1728"/>
          </w:tcPr>
          <w:p>
            <w:pPr>
              <w:spacing w:line="276" w:lineRule="auto"/>
            </w:pPr>
            <w:r>
              <w:t>0.060</w:t>
            </w:r>
          </w:p>
        </w:tc>
        <w:tc>
          <w:tcPr>
            <w:tcW w:type="dxa" w:w="1728"/>
          </w:tcPr>
          <w:p>
            <w:pPr>
              <w:spacing w:line="276" w:lineRule="auto"/>
            </w:pPr>
            <w:r>
              <w:t>0.494</w:t>
            </w:r>
          </w:p>
        </w:tc>
        <w:tc>
          <w:tcPr>
            <w:tcW w:type="dxa" w:w="1728"/>
          </w:tcPr>
          <w:p>
            <w:pPr>
              <w:spacing w:line="276" w:lineRule="auto"/>
            </w:pPr>
            <w:r>
              <w:t>0.020</w:t>
            </w:r>
          </w:p>
        </w:tc>
      </w:tr>
      <w:tr>
        <w:tc>
          <w:tcPr>
            <w:tcW w:type="dxa" w:w="1728"/>
          </w:tcPr>
          <w:p>
            <w:pPr>
              <w:spacing w:line="276" w:lineRule="auto"/>
            </w:pPr>
            <w:r>
              <w:t>Prognostic_score</w:t>
            </w:r>
          </w:p>
        </w:tc>
        <w:tc>
          <w:tcPr>
            <w:tcW w:type="dxa" w:w="1728"/>
          </w:tcPr>
          <w:p>
            <w:pPr>
              <w:spacing w:line="276" w:lineRule="auto"/>
            </w:pPr>
            <w:r>
              <w:t>0.520</w:t>
            </w:r>
          </w:p>
        </w:tc>
        <w:tc>
          <w:tcPr>
            <w:tcW w:type="dxa" w:w="1728"/>
          </w:tcPr>
          <w:p>
            <w:pPr>
              <w:spacing w:line="276" w:lineRule="auto"/>
            </w:pPr>
            <w:r>
              <w:t>0.020</w:t>
            </w:r>
          </w:p>
        </w:tc>
        <w:tc>
          <w:tcPr>
            <w:tcW w:type="dxa" w:w="1728"/>
          </w:tcPr>
          <w:p>
            <w:pPr>
              <w:spacing w:line="276" w:lineRule="auto"/>
            </w:pPr>
            <w:r>
              <w:t>0.528</w:t>
            </w:r>
          </w:p>
        </w:tc>
        <w:tc>
          <w:tcPr>
            <w:tcW w:type="dxa" w:w="1728"/>
          </w:tcPr>
          <w:p>
            <w:pPr>
              <w:spacing w:line="276" w:lineRule="auto"/>
            </w:pPr>
            <w:r>
              <w:t>0.040</w:t>
            </w:r>
          </w:p>
        </w:tc>
      </w:tr>
      <w:tr>
        <w:tc>
          <w:tcPr>
            <w:tcW w:type="dxa" w:w="1728"/>
          </w:tcPr>
          <w:p>
            <w:pPr>
              <w:spacing w:line="276" w:lineRule="auto"/>
            </w:pPr>
            <w:r>
              <w:t>baseline_oracle_kmeans</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0.506</w:t>
            </w:r>
          </w:p>
        </w:tc>
        <w:tc>
          <w:tcPr>
            <w:tcW w:type="dxa" w:w="1728"/>
          </w:tcPr>
          <w:p>
            <w:pPr>
              <w:spacing w:line="276" w:lineRule="auto"/>
            </w:pPr>
            <w:r>
              <w:t>0.040</w:t>
            </w:r>
          </w:p>
        </w:tc>
      </w:tr>
      <w:tr>
        <w:tc>
          <w:tcPr>
            <w:tcW w:type="dxa" w:w="1728"/>
          </w:tcPr>
          <w:p>
            <w:pPr>
              <w:spacing w:line="276" w:lineRule="auto"/>
            </w:pPr>
            <w:r>
              <w:t>baseline_oracle_quantile</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baseline_random</w:t>
            </w:r>
          </w:p>
        </w:tc>
        <w:tc>
          <w:tcPr>
            <w:tcW w:type="dxa" w:w="1728"/>
          </w:tcPr>
          <w:p>
            <w:pPr>
              <w:spacing w:line="276" w:lineRule="auto"/>
            </w:pPr>
            <w:r>
              <w:t>0.544</w:t>
            </w:r>
          </w:p>
        </w:tc>
        <w:tc>
          <w:tcPr>
            <w:tcW w:type="dxa" w:w="1728"/>
          </w:tcPr>
          <w:p>
            <w:pPr>
              <w:spacing w:line="276" w:lineRule="auto"/>
            </w:pPr>
            <w:r>
              <w:t>0.040</w:t>
            </w:r>
          </w:p>
        </w:tc>
        <w:tc>
          <w:tcPr>
            <w:tcW w:type="dxa" w:w="1728"/>
          </w:tcPr>
          <w:p>
            <w:pPr>
              <w:spacing w:line="276" w:lineRule="auto"/>
            </w:pPr>
            <w:r>
              <w:t>0.427</w:t>
            </w:r>
          </w:p>
        </w:tc>
        <w:tc>
          <w:tcPr>
            <w:tcW w:type="dxa" w:w="1728"/>
          </w:tcPr>
          <w:p>
            <w:pPr>
              <w:spacing w:line="276" w:lineRule="auto"/>
            </w:pPr>
            <w:r>
              <w:t>0.040</w:t>
            </w:r>
          </w:p>
        </w:tc>
      </w:tr>
    </w:tbl>
    <w:p>
      <w:pPr>
        <w:spacing w:before="240" w:line="480" w:lineRule="auto"/>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line="480" w:lineRule="auto"/>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C1 and W_est do not provide reliable classification on their own in the primary scenario; they should be used only as descriptive flags calibrated to the empirical null."/>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 C1 and </w:t>
      </w:r>
      <m:oMath>
        <m:sSub>
          <m:e>
            <m:r>
              <m:t xml:space="preserve">W</m:t>
            </m:r>
          </m:e>
          <m:sub>
            <m:r>
              <m:t xml:space="preserve">est</m:t>
            </m:r>
          </m:sub>
        </m:sSub>
      </m:oMath>
      <w:r>
        <w:rPr>
          <w:b/>
        </w:rPr>
        <w:t xml:space="preserve"> do not provide reliable classification on their own in the primary scenario; they should be used only as descriptive flags calibrated to the empirical null.</w:t>
      </w:r>
    </w:p>
    <w:p>
      <w:pPr>
        <w:pStyle w:val="Heading2"/>
        <w:spacing w:line="480" w:lineRule="auto"/>
      </w:pPr>
      <w:r>
        <w:t>CATE variance explained</w:t>
      </w:r>
    </w:p>
    <w:p>
      <w:pPr>
        <w:spacing w:line="480" w:lineRule="auto"/>
      </w:pPr>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line="480" w:lineRule="auto"/>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spacing w:line="480" w:lineRule="auto"/>
      </w:pPr>
      <w:r>
        <w:t>Recommendations for method choice</w:t>
      </w:r>
    </w:p>
    <w:p>
      <w:pPr>
        <w:spacing w:line="480" w:lineRule="auto"/>
      </w:pPr>
      <w:r>
        <w:t>Table 5 translates the simulation results into practical guidance. It links scenario characteristics to the method that performed best in the benchmark, states the rationale, and notes the key caveat. The recommendations reflect the patterns in Tables 1–4 and Supplementary Tables S1–S4; they are not derived from a new optimisation and should be treated as heuristics for sensitivity analysis rather than prescriptive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76" w:lineRule="auto"/>
            </w:pPr>
            <w:r>
              <w:rPr>
                <w:b/>
              </w:rPr>
              <w:t>Scenario characteristic</w:t>
            </w:r>
          </w:p>
        </w:tc>
        <w:tc>
          <w:tcPr>
            <w:tcW w:type="dxa" w:w="2160"/>
          </w:tcPr>
          <w:p>
            <w:pPr>
              <w:spacing w:line="276" w:lineRule="auto"/>
            </w:pPr>
            <w:r>
              <w:rPr>
                <w:b/>
              </w:rPr>
              <w:t>Recommended method</w:t>
            </w:r>
          </w:p>
        </w:tc>
        <w:tc>
          <w:tcPr>
            <w:tcW w:type="dxa" w:w="2160"/>
          </w:tcPr>
          <w:p>
            <w:pPr>
              <w:spacing w:line="276" w:lineRule="auto"/>
            </w:pPr>
            <w:r>
              <w:rPr>
                <w:b/>
              </w:rPr>
              <w:t>Rationale</w:t>
            </w:r>
          </w:p>
        </w:tc>
        <w:tc>
          <w:tcPr>
            <w:tcW w:type="dxa" w:w="2160"/>
          </w:tcPr>
          <w:p>
            <w:pPr>
              <w:spacing w:line="276" w:lineRule="auto"/>
            </w:pPr>
            <w:r>
              <w:rPr>
                <w:b/>
              </w:rPr>
              <w:t>Caveat</w:t>
            </w:r>
          </w:p>
        </w:tc>
      </w:tr>
      <w:tr>
        <w:tc>
          <w:tcPr>
            <w:tcW w:type="dxa" w:w="2160"/>
          </w:tcPr>
          <w:p>
            <w:pPr>
              <w:spacing w:line="276" w:lineRule="auto"/>
            </w:pPr>
            <w:r>
              <w:t>Strong covariate trace of a hidden modifier and moderate-to-large sample</w:t>
            </w:r>
          </w:p>
        </w:tc>
        <w:tc>
          <w:tcPr>
            <w:tcW w:type="dxa" w:w="2160"/>
          </w:tcPr>
          <w:p>
            <w:pPr>
              <w:spacing w:line="276" w:lineRule="auto"/>
            </w:pPr>
            <w:r>
              <w:t>Residual-based IONE (1B)</w:t>
            </w:r>
          </w:p>
        </w:tc>
        <w:tc>
          <w:tcPr>
            <w:tcW w:type="dxa" w:w="2160"/>
          </w:tcPr>
          <w:p>
            <w:pPr>
              <w:spacing w:line="276" w:lineRule="auto"/>
            </w:pPr>
            <w:r>
              <w:t xml:space="preserve">Highest random-effects ATE bias reduction and </w:t>
            </w:r>
            <m:oMath>
              <m:sSub>
                <m:e>
                  <m:r>
                    <m:t xml:space="preserve">W</m:t>
                  </m:r>
                </m:e>
                <m:sub>
                  <m:r>
                    <m:t xml:space="preserve">true</m:t>
                  </m:r>
                </m:sub>
              </m:sSub>
            </m:oMath>
            <w:r>
              <w:t xml:space="preserve"> in the primary scenario</w:t>
            </w:r>
          </w:p>
        </w:tc>
        <w:tc>
          <w:tcPr>
            <w:tcW w:type="dxa" w:w="2160"/>
          </w:tcPr>
          <w:p>
            <w:pPr>
              <w:spacing w:line="276" w:lineRule="auto"/>
            </w:pPr>
            <w:r>
              <w:t>Hits a structural bias floor that does not vanish with sample size; requires a correctly specified outcome model with treatment-covariate interactions</w:t>
            </w:r>
          </w:p>
        </w:tc>
      </w:tr>
      <w:tr>
        <w:tc>
          <w:tcPr>
            <w:tcW w:type="dxa" w:w="2160"/>
          </w:tcPr>
          <w:p>
            <w:pPr>
              <w:spacing w:line="276" w:lineRule="auto"/>
            </w:pPr>
            <w:r>
              <w:t>Small sample (n ≈ 500) with moderate modification</w:t>
            </w:r>
          </w:p>
        </w:tc>
        <w:tc>
          <w:tcPr>
            <w:tcW w:type="dxa" w:w="2160"/>
          </w:tcPr>
          <w:p>
            <w:pPr>
              <w:spacing w:line="276" w:lineRule="auto"/>
            </w:pPr>
            <w:r>
              <w:t>Residual-based IONE (1B)</w:t>
            </w:r>
          </w:p>
        </w:tc>
        <w:tc>
          <w:tcPr>
            <w:tcW w:type="dxa" w:w="2160"/>
          </w:tcPr>
          <w:p>
            <w:pPr>
              <w:spacing w:line="276" w:lineRule="auto"/>
            </w:pPr>
            <w:r>
              <w:t>Achieved the largest relative bias reduction and the smallest absolute bias floor at n = 500</w:t>
            </w:r>
          </w:p>
        </w:tc>
        <w:tc>
          <w:tcPr>
            <w:tcW w:type="dxa" w:w="2160"/>
          </w:tcPr>
          <w:p>
            <w:pPr>
              <w:spacing w:line="276" w:lineRule="auto"/>
            </w:pPr>
            <w:r>
              <w:t>Relative reduction partly reflects large crude bias; residual model can overfit when events are sparse</w:t>
            </w:r>
          </w:p>
        </w:tc>
      </w:tr>
      <w:tr>
        <w:tc>
          <w:tcPr>
            <w:tcW w:type="dxa" w:w="2160"/>
          </w:tcPr>
          <w:p>
            <w:pPr>
              <w:spacing w:line="276" w:lineRule="auto"/>
            </w:pPr>
            <w:r>
              <w:t>Large sample (n ≈ 10 000) and strong measured confounding</w:t>
            </w:r>
          </w:p>
        </w:tc>
        <w:tc>
          <w:tcPr>
            <w:tcW w:type="dxa" w:w="2160"/>
          </w:tcPr>
          <w:p>
            <w:pPr>
              <w:spacing w:line="276" w:lineRule="auto"/>
            </w:pPr>
            <w:r>
              <w:t>Propensity-score, prognostic-score or clustering stratification</w:t>
            </w:r>
          </w:p>
        </w:tc>
        <w:tc>
          <w:tcPr>
            <w:tcW w:type="dxa" w:w="2160"/>
          </w:tcPr>
          <w:p>
            <w:pPr>
              <w:spacing w:line="276" w:lineRule="auto"/>
            </w:pPr>
            <w:r>
              <w:t>Largest relative reductions after finite-sample error was dominated by structural differences</w:t>
            </w:r>
          </w:p>
        </w:tc>
        <w:tc>
          <w:tcPr>
            <w:tcW w:type="dxa" w:w="2160"/>
          </w:tcPr>
          <w:p>
            <w:pPr>
              <w:spacing w:line="276" w:lineRule="auto"/>
            </w:pPr>
            <w:r>
              <w:t>Residual-based stratification is overtaken once crude bias is small; method-specific performance still varies</w:t>
            </w:r>
          </w:p>
        </w:tc>
      </w:tr>
      <w:tr>
        <w:tc>
          <w:tcPr>
            <w:tcW w:type="dxa" w:w="2160"/>
          </w:tcPr>
          <w:p>
            <w:pPr>
              <w:spacing w:line="276" w:lineRule="auto"/>
            </w:pPr>
            <w:r>
              <w:t>Outcome model unavailable, misspecified or rare events</w:t>
            </w:r>
          </w:p>
        </w:tc>
        <w:tc>
          <w:tcPr>
            <w:tcW w:type="dxa" w:w="2160"/>
          </w:tcPr>
          <w:p>
            <w:pPr>
              <w:spacing w:line="276" w:lineRule="auto"/>
            </w:pPr>
            <w:r>
              <w:t>Outcome-free methods (PCA or k-means) or prognostic-score stratification</w:t>
            </w:r>
          </w:p>
        </w:tc>
        <w:tc>
          <w:tcPr>
            <w:tcW w:type="dxa" w:w="2160"/>
          </w:tcPr>
          <w:p>
            <w:pPr>
              <w:spacing w:line="276" w:lineRule="auto"/>
            </w:pPr>
            <w:r>
              <w:t>Do not use the outcome for stratification, so avoid degenerate logistic fits and overfitting</w:t>
            </w:r>
          </w:p>
        </w:tc>
        <w:tc>
          <w:tcPr>
            <w:tcW w:type="dxa" w:w="2160"/>
          </w:tcPr>
          <w:p>
            <w:pPr>
              <w:spacing w:line="276" w:lineRule="auto"/>
            </w:pPr>
            <w:r>
              <w:t>ATE bias reduction is generally smaller; C1 and W discrimination remains near chance</w:t>
            </w:r>
          </w:p>
        </w:tc>
      </w:tr>
      <w:tr>
        <w:tc>
          <w:tcPr>
            <w:tcW w:type="dxa" w:w="2160"/>
          </w:tcPr>
          <w:p>
            <w:pPr>
              <w:spacing w:line="276" w:lineRule="auto"/>
            </w:pPr>
            <w:r>
              <w:t>Need a descriptive flag for internal incoherence</w:t>
            </w:r>
          </w:p>
        </w:tc>
        <w:tc>
          <w:tcPr>
            <w:tcW w:type="dxa" w:w="2160"/>
          </w:tcPr>
          <w:p>
            <w:pPr>
              <w:spacing w:line="276" w:lineRule="auto"/>
            </w:pPr>
            <w:r>
              <w:t xml:space="preserve">Report C1_excess and </w:t>
            </w:r>
            <m:oMath>
              <m:sSub>
                <m:e>
                  <m:r>
                    <m:t xml:space="preserve">W</m:t>
                  </m:r>
                </m:e>
                <m:sub>
                  <m:r>
                    <m:t xml:space="preserve">est</m:t>
                  </m:r>
                </m:sub>
              </m:sSub>
            </m:oMath>
            <w:r>
              <w:t xml:space="preserve">_excess alongside the primary analysis</w:t>
            </w:r>
          </w:p>
        </w:tc>
        <w:tc>
          <w:tcPr>
            <w:tcW w:type="dxa" w:w="2160"/>
          </w:tcPr>
          <w:p>
            <w:pPr>
              <w:spacing w:line="276" w:lineRule="auto"/>
            </w:pPr>
            <w:r>
              <w:t>Empirically calibrated against a no-modification null</w:t>
            </w:r>
          </w:p>
        </w:tc>
        <w:tc>
          <w:tcPr>
            <w:tcW w:type="dxa" w:w="2160"/>
          </w:tcPr>
          <w:p>
            <w:pPr>
              <w:spacing w:line="276" w:lineRule="auto"/>
            </w:pPr>
            <w:r>
              <w:t>Do not use as a standalone inferential test; thresholds are method-specific and DGM-conditional</w:t>
            </w:r>
          </w:p>
        </w:tc>
      </w:tr>
    </w:tbl>
    <w:p>
      <w:pPr>
        <w:spacing w:before="240" w:line="480" w:lineRule="auto"/>
      </w:pPr>
      <w:r/>
      <w:r>
        <w:rPr>
          <w:i/>
        </w:rPr>
        <w:t>Table 5. Recommendations for choosing a stratification method in an IPD meta-analysis sensitivity analysis.</w:t>
      </w:r>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operational k-means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spacing w:line="480" w:lineRule="auto"/>
      </w:pPr>
      <w:r>
        <w:t>Detection versus subgroup recovery</w:t>
      </w:r>
    </w:p>
    <w:p>
      <w:pPr>
        <w:spacing w:line="480" w:lineRule="auto"/>
      </w:pPr>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spacing w:line="480" w:lineRule="auto"/>
      </w:pPr>
      <w:r>
        <w:t>Comparison with study-level and covariate-adjustment approaches</w:t>
      </w:r>
    </w:p>
    <w:p>
      <w:pPr>
        <w:spacing w:line="480" w:lineRule="auto"/>
      </w:pPr>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spacing w:line="480" w:lineRule="auto"/>
      </w:pPr>
      <w:r>
        <w:t>W denominator and misspecification</w:t>
      </w:r>
    </w:p>
    <w:p>
      <w:pPr>
        <w:spacing w:line="480" w:lineRule="auto"/>
      </w:pPr>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spacing w:line="480" w:lineRule="auto"/>
      </w:pPr>
      <w:r>
        <w:t>Large-sample behaviour</w:t>
      </w:r>
    </w:p>
    <w:p>
      <w:pPr>
        <w:spacing w:line="480" w:lineRule="auto"/>
      </w:pPr>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spacing w:line="480" w:lineRule="auto"/>
      </w:pPr>
      <w:r>
        <w:t>Relevance to CSDA readers</w:t>
      </w:r>
    </w:p>
    <w:p>
      <w:pPr>
        <w:spacing w:line="480" w:lineRule="auto"/>
      </w:pPr>
      <w:r>
        <w:t xml:space="preserve">IONE sits between computational stratification diagnostics and model-based effect modification for individual participant data meta-analysis. C1 re-purposes the </w:t>
      </w:r>
      <m:oMath>
        <m:sSup>
          <m:e>
            <m:r>
              <m:t xml:space="preserve">I</m:t>
            </m:r>
          </m:e>
          <m:sup>
            <m:r>
              <m:t xml:space="preserve">2</m:t>
            </m:r>
          </m:sup>
        </m:sSup>
      </m:oMath>
      <w:r>
        <w:t xml:space="preserve"> statistic for discovered strata and W connects a partition to explained conditional average treatment effect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The simulation code, analysis scripts and generated tables are publicly available so readers can reproduce every numerical result.</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spacing w:line="480" w:lineRule="auto"/>
      </w:pPr>
      <w:r>
        <w:t>5. Conclusions</w:t>
      </w:r>
    </w:p>
    <w:p>
      <w:pPr>
        <w:spacing w:line="480" w:lineRule="auto"/>
      </w:pPr>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concrete recommendations follow: (1) use C1 and W only as descriptive flags, not as inferential tests for hidden effect modification, and (2) pre-specify potential effect modifiers and reserve data-driven stratification for exploratory sensitivity analyses, not for decision-making.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csda_supplementary_v1.docx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 doi: 10.1002/9780470743386</w:t>
      </w:r>
    </w:p>
    <w:p>
      <w:pPr>
        <w:spacing w:line="480" w:lineRule="auto"/>
      </w:pPr>
      <w:r>
        <w:t>2. Riley RD, Lambert PC, Abo-Zaid G. Meta-analysis of individual participant data: rationale, conduct, and reporting. BMJ. 2010;340:c221. doi: 10.1136/bmj.c221</w:t>
      </w:r>
    </w:p>
    <w:p>
      <w:pPr>
        <w:spacing w:line="480" w:lineRule="auto"/>
      </w:pPr>
      <w:r>
        <w:t>3. Simmonds MC, Higgins JPT, Stewart LA, Tierney JF, Clarke MJ, Thompson SG. Meta-analysis of individual patient data from randomized trials: a review of methods used in practice. Clin Trials. 2005;2(3):209–217. doi: 10.1191/1740774505cn087oa</w:t>
      </w:r>
    </w:p>
    <w:p>
      <w:pPr>
        <w:spacing w:line="480" w:lineRule="auto"/>
      </w:pPr>
      <w:r>
        <w:t>4. DerSimonian R, Laird N. Meta-analysis in clinical trials. Control Clin Trials. 1986;7(3):177–188. doi: 10.1016/0197-2456(86)90046-2</w:t>
      </w:r>
    </w:p>
    <w:p>
      <w:pPr>
        <w:spacing w:line="480" w:lineRule="auto"/>
      </w:pPr>
      <w:r>
        <w:t>5. Higgins JPT, Thompson SG. Quantifying heterogeneity in a meta-analysis. Stat Med. 2002;21(11):1539–1558. doi: 10.1002/sim.1186</w:t>
      </w:r>
    </w:p>
    <w:p>
      <w:pPr>
        <w:spacing w:line="480" w:lineRule="auto"/>
      </w:pPr>
      <w:r>
        <w:t>6. Riley RD, Higgins JPT, Deeks JJ. Interpretation of random effects meta-analyses. BMJ. 2011;342:d549.</w:t>
      </w:r>
    </w:p>
    <w:p>
      <w:pPr>
        <w:spacing w:line="480" w:lineRule="auto"/>
      </w:pPr>
      <w:r>
        <w:t>7. Pearl J. Causality. 2nd ed. Cambridge: Cambridge University Press; 2009. doi: 10.1017/cbo9780511803161</w:t>
      </w:r>
    </w:p>
    <w:p>
      <w:pPr>
        <w:spacing w:line="480" w:lineRule="auto"/>
      </w:pPr>
      <w:r>
        <w:t>8. Greenland S, Robins JM, Pearl J. Confounding and collapsibility in causal inference. Stat Sci. 1999;14(1):29–46. doi: 10.1214/ss/1009211805</w:t>
      </w:r>
    </w:p>
    <w:p>
      <w:pPr>
        <w:spacing w:line="480" w:lineRule="auto"/>
      </w:pPr>
      <w:r>
        <w:t>9. Simpson EH. The interpretation of interaction in contingency tables. J R Stat Soc Ser B. 1951;13(2):238–241. doi: 10.1111/j.2517-6161.1951.tb00088.x</w:t>
      </w:r>
    </w:p>
    <w:p>
      <w:pPr>
        <w:spacing w:line="480" w:lineRule="auto"/>
      </w:pPr>
      <w:r>
        <w:t>10. Rojanaworarit C. Misleading epidemiological and statistical evidence in the presence of Simpson's paradox: an illustrative study using simulated scenarios. J Med Life. 2020;13(1):37–44.</w:t>
      </w:r>
    </w:p>
    <w:p>
      <w:pPr>
        <w:spacing w:line="480" w:lineRule="auto"/>
      </w:pPr>
      <w:r>
        <w:t>11. Charig CR, Webb DR, Payne SR, Wickham JE. Comparison of treatment of renal calculi by open surgery, percutaneous nephrolithotomy, and extracorporeal shockwave lithotripsy. BMJ. 1986;292(6521):879–882.</w:t>
      </w:r>
    </w:p>
    <w:p>
      <w:pPr>
        <w:spacing w:line="480" w:lineRule="auto"/>
      </w:pPr>
      <w:r>
        <w:t>12. Bickel PJ, Hammel EA, O'Connell JW. Sex bias in graduate admissions: data from Berkeley. Science. 1975;187(4175):398–404.</w:t>
      </w:r>
    </w:p>
    <w:p>
      <w:pPr>
        <w:spacing w:line="480" w:lineRule="auto"/>
      </w:pPr>
      <w:r>
        <w:t>13. von Kügelgen J, Gresele L, Schölkopf B. Simpson's paradox in Covid-19 case fatality rates: a mediation analysis of age-related causal effects. IEEE Trans Artif Intell. 2021;2(1):18–27.</w:t>
      </w:r>
    </w:p>
    <w:p>
      <w:pPr>
        <w:spacing w:line="480" w:lineRule="auto"/>
      </w:pPr>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pPr>
        <w:spacing w:line="480" w:lineRule="auto"/>
      </w:pPr>
      <w:r>
        <w:t>15. Appleton DR, French NR, Vanderpump MP. Ignoring a covariate: an example of Simpson's paradox. Am Stat. 1996;50(4):340–341.</w:t>
      </w:r>
    </w:p>
    <w:p>
      <w:pPr>
        <w:spacing w:line="480" w:lineRule="auto"/>
      </w:pPr>
      <w:r>
        <w:t>16. Morris TP, White IR, Crowther MJ. Using simulation studies to evaluate statistical methods. Stat Med. 2019;38(11):2074–2102. doi: 10.1002/sim.8086</w:t>
      </w:r>
    </w:p>
    <w:p>
      <w:pPr>
        <w:spacing w:line="480" w:lineRule="auto"/>
      </w:pPr>
      <w:r>
        <w:t>17. Rosenbaum PR, Rubin DB. The central role of the propensity score in observational studies for causal effects. Biometrika. 1983;70(1):41–55. doi: 10.1093/biomet/70.1.41</w:t>
      </w:r>
    </w:p>
    <w:p>
      <w:pPr>
        <w:spacing w:line="480" w:lineRule="auto"/>
      </w:pPr>
      <w:r>
        <w:t>18. McLachlan GJ, Peel D. Finite Mixture Models. New York: Wiley; 2000. doi: 10.1002/0471721182</w:t>
      </w:r>
    </w:p>
    <w:p>
      <w:pPr>
        <w:spacing w:line="480" w:lineRule="auto"/>
      </w:pPr>
      <w:r>
        <w:t>19. Hansen BB. The prognostic analogue of the propensity score. Biometrika. 2008;95(2):481–488. doi: 10.1093/biomet/asn004</w:t>
      </w:r>
    </w:p>
    <w:p>
      <w:pPr>
        <w:spacing w:line="480" w:lineRule="auto"/>
      </w:pPr>
      <w:r>
        <w:t>20. Hubert L, Arabie P. Comparing partitions. J Classif. 1985;2(1):193–218. doi: 10.1007/bf01908075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