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(C1 and W) for hidden effect modification</w:t>
      </w:r>
    </w:p>
    <w:p>
      <w:pPr>
        <w:pStyle w:val="Title"/>
        <w:jc w:val="center"/>
      </w:pPr>
      <w:r>
        <w:t>in individual participant data meta-analysis: the IONE framework and a simulation study</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3</w:t>
      </w:r>
    </w:p>
    <w:p>
      <w:r>
        <w:t>Word count: Abstract 285; Main text 2580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