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Highlights</w:t>
      </w:r>
    </w:p>
    <w:p>
      <w:pPr>
        <w:pStyle w:val="ListBullet"/>
      </w:pPr>
      <w:r>
        <w:t>We introduce IONE diagnostics for hidden effect modification in IPD meta-analysis.</w:t>
      </w:r>
    </w:p>
    <w:p>
      <w:pPr>
        <w:pStyle w:val="ListBullet"/>
      </w:pPr>
      <w:r>
        <w:t>A simulation benchmark compares seven data-driven stratification methods.</w:t>
      </w:r>
    </w:p>
    <w:p>
      <w:pPr>
        <w:pStyle w:val="ListBullet"/>
      </w:pPr>
      <w:r>
        <w:t>Residual-based stratification gives the best ARI and ATE bias reduction.</w:t>
      </w:r>
    </w:p>
    <w:p>
      <w:pPr>
        <w:pStyle w:val="ListBullet"/>
      </w:pPr>
      <w:r>
        <w:t>C1 and W are sensitivity indices, not standalone tests.</w:t>
      </w:r>
    </w:p>
    <w:p>
      <w:pPr>
        <w:pStyle w:val="ListBullet"/>
      </w:pPr>
      <w:r>
        <w:t>All code, data and results are reproducible from a public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