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S7 reports absolute-deviation scores using distance from the empirical null mean (e.g. residual C1 abs-AUC 0.473); these did not rescue discrimination, indicating that the weak ROC performance is structural rather than an artifact of the one-sided lower-tail threshold.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