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(C1 and W) for hidden effect modification</w:t>
      </w:r>
    </w:p>
    <w:p>
      <w:pPr>
        <w:pStyle w:val="Title"/>
        <w:jc w:val="center"/>
      </w:pPr>
      <w:r>
        <w:t>in individual participant data meta-analysis: the IONE framework and a simulation study</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269; Main text 2359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