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20 August 2026</w:t>
      </w:r>
    </w:p>
    <w:p>
      <w:r>
        <w:t>The Editors</w:t>
      </w:r>
    </w:p>
    <w:p>
      <w:r/>
      <w:r>
        <w:rPr>
          <w:i/>
        </w:rPr>
        <w:t>Computational Statistics &amp; Data Analysis</w:t>
      </w:r>
      <w:r/>
    </w:p>
    <w:p>
      <w:r>
        <w:t>Elsevier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"Coherence diagnostics for hidden effect modification in individual participant data meta-analysis: IONE (Incoherence-Oriented Neutralisation and Extraction) and a simulation benchmark of stratification approaches,"</w:t>
      </w:r>
      <w:r>
        <w:t xml:space="preserve"> for consideration by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proposes and benchmarks computational diagnostics for a core problem in statistical data analysis: hidden effect modification in individual participant data (IPD) meta-analysis. The proposed C1 and W statistics quantify between- and within-stratum treatment-effect heterogeneity, and the simulation systematically compares stratification approaches, including propensity-score stratification, prognostic-score stratification, Gaussian mixture models, outcome-residual stratification and clustering. Because the sampling distributions of discovered-stratum estimators depend on the unknown joint distribution of unmeasured modifiers and observed covariates, closed-form theoretical comparisons of the stratification methods are not available; the simulation benchmark is therefore necessary to quantify relative performance. All numerical results are produced by a reproducible computational pipeline and are publicly available. We therefore believe the work will be of interest to the readership of </w:t>
      </w:r>
      <w:r>
        <w:rPr>
          <w:i/>
        </w:rPr>
        <w:t>Computational Statistics &amp; Data Analysis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