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(C1 and W) for hidden effect modification in individual participant data meta-analysis: the IONE framework and a simulation study</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two coherence diagnostics, C1 (1 minus the </w:t>
      </w:r>
      <m:oMath>
        <m:sSup>
          <m:e>
            <m:r>
              <m:t xml:space="preserve">I</m:t>
            </m:r>
          </m:e>
          <m:sup>
            <m:r>
              <m:t xml:space="preserve">2</m:t>
            </m:r>
          </m:sup>
        </m:sSup>
      </m:oMath>
      <w:r>
        <w:t xml:space="preserve"> statistic applied to stratum-specific log odds ratios) and W (the proportion of CATE variance explained by the stratification), and evaluate them within Incoherence-Oriented Neutralisation and Extraction (IONE), an exploratory diagnostic framework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pPr>
        <w:spacing w:line="480" w:lineRule="auto"/>
      </w:pPr>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spacing w:line="480" w:lineRule="auto"/>
      </w:pPr>
      <w:r>
        <w:t>2. Methods</w:t>
      </w:r>
    </w:p>
    <w:p>
      <w:pPr>
        <w:spacing w:line="480" w:lineRule="auto"/>
      </w:pPr>
      <w:r>
        <w:t xml:space="preserve">This simulation study follows the ADEMP framework </w:t>
      </w:r>
      <w:r>
        <w:rPr>
          <w:vertAlign w:val="superscript"/>
        </w:rPr>
        <w:t>[23]</w:t>
      </w:r>
      <w:r>
        <w:t>.</w:t>
      </w:r>
    </w:p>
    <w:p>
      <w:pPr>
        <w:pStyle w:val="Heading2"/>
        <w:spacing w:line="480" w:lineRule="auto"/>
      </w:pPr>
      <w:r>
        <w:t>Aims</w:t>
      </w:r>
    </w:p>
    <w:p>
      <w:pPr>
        <w:spacing w:line="480" w:lineRule="auto"/>
      </w:pPr>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pPr>
        <w:spacing w:line="480" w:lineRule="auto"/>
      </w:pPr>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spacing w:line="480" w:lineRule="auto"/>
      </w:pPr>
      <w:r>
        <w:t>Evaluation metrics</w:t>
      </w:r>
    </w:p>
    <w:p>
      <w:pPr>
        <w:spacing w:line="480" w:lineRule="auto"/>
      </w:pPr>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spacing w:line="480" w:lineRule="auto"/>
      </w:pPr>
      <w:r>
        <w:t xml:space="preserve">Empirical null distribution of C1 and </w:t>
      </w:r>
      <m:oMath>
        <m:sSub>
          <m:e>
            <m:r>
              <m:t xml:space="preserve">W</m:t>
            </m:r>
          </m:e>
          <m:sub>
            <m:r>
              <m:t xml:space="preserve">est</m:t>
            </m:r>
          </m:sub>
        </m:sSub>
      </m:oMath>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Because the published counts cover approximately 6.5 million people, we used a stratified random down-sample of 100,000 records preserving the age- and vaccination-specific hospitalisation rates; this gives a rare-outcome example. Pseudo-general variables mimicked proxies of the known confounder and K was chosen from {2, 3, min(K_true,4), K_true} as the value maximising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with stratification, yet recovery of the true age groups from multivariate covariate patterns remained modest.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This study frames IONE as an exploratory diagnostic for hidden effect modification in IPD meta-analysis. C1 and W signal whether a pooled IPD is internally coherent: methods that captured more of the true Z structure produced C1 values close to the Oracle and higher W, especially the residual-based method. Extraction of the true partition remained modest (Oracle ARI 0.372; best non-Oracle 1B_residual 0.032), but the best data-driven method reduced crude ATE bias from 0.01865 to 0.00816 (relative reduction 0.563) with DerSimonian-Laird pooling. These findings suggest that stratum-specific effects should be allowed to vary once incoherence is flagged.</w:t>
      </w:r>
    </w:p>
    <w:p>
      <w:pPr>
        <w:pStyle w:val="Heading2"/>
        <w:spacing w:line="480" w:lineRule="auto"/>
      </w:pPr>
      <w:r>
        <w:t>Detection versus extraction</w:t>
      </w:r>
    </w:p>
    <w:p>
      <w:pPr>
        <w:spacing w:line="480" w:lineRule="auto"/>
      </w:pPr>
      <w:r>
        <w:t xml:space="preserve">Detection asks whether the pooled population is internally coherent; C1 and W address this without requiring hidden subgroups to be specified. If C1 is low and </w:t>
      </w:r>
      <m:oMath>
        <m:sSub>
          <m:e>
            <m:r>
              <m:t xml:space="preserve">W</m:t>
            </m:r>
          </m:e>
          <m:sub>
            <m:r>
              <m:t xml:space="preserve">est</m:t>
            </m:r>
          </m:sub>
        </m:sSub>
      </m:oMath>
      <w:r>
        <w:t xml:space="preserve"> is high, the marginal summary is likely incoherent and should be interpreted cautiously. Extraction attempts to recover hidden subgroups, but it is much harder than detection. IONE's practical value therefore lies in detection and partial ATE improvement, not in perfect confounding adjustment.</w:t>
      </w:r>
    </w:p>
    <w:p>
      <w:pPr>
        <w:pStyle w:val="Heading2"/>
        <w:spacing w:line="480" w:lineRule="auto"/>
      </w:pPr>
      <w:r>
        <w:t>Comparison with existing methods</w:t>
      </w:r>
    </w:p>
    <w:p>
      <w:pPr>
        <w:spacing w:line="480" w:lineRule="auto"/>
      </w:pPr>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spacing w:line="480" w:lineRule="auto"/>
      </w:pPr>
      <w:r>
        <w:t>Relevance to Biostatistics readers</w:t>
      </w:r>
    </w:p>
    <w:p>
      <w:pPr>
        <w:spacing w:line="480" w:lineRule="auto"/>
      </w:pPr>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spacing w:line="480" w:lineRule="auto"/>
      </w:pPr>
      <w:r>
        <w:t>5. Conclusions</w:t>
      </w:r>
    </w:p>
    <w:p>
      <w:pPr>
        <w:spacing w:line="480" w:lineRule="auto"/>
      </w:pPr>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Rosenbaum PR, Rubin DB. The central role of the propensity score in observational studies for causal effects. Biometrika. 1983;70(1):41–55.</w:t>
      </w:r>
    </w:p>
    <w:p>
      <w:pPr>
        <w:spacing w:line="480" w:lineRule="auto"/>
      </w:pPr>
      <w:r>
        <w:t>[17] Hansen BB. The prognostic analogue of the propensity score. Biometrika. 2008;95(2):481–488.</w:t>
      </w:r>
    </w:p>
    <w:p>
      <w:pPr>
        <w:spacing w:line="480" w:lineRule="auto"/>
      </w:pPr>
      <w:r>
        <w:t>[18] Miettinen OS. Stratification by a multivariate confounder score. Am J Epidemiol. 1976;104(6):609–620.</w:t>
      </w:r>
    </w:p>
    <w:p>
      <w:pPr>
        <w:spacing w:line="480" w:lineRule="auto"/>
      </w:pPr>
      <w:r>
        <w:t>[19] Angrist JD, Imbens GW, Rubin DB. Identification of causal effects using instrumental variables. J Am Stat Assoc. 1996;91(434):444–455.</w:t>
      </w:r>
    </w:p>
    <w:p>
      <w:pPr>
        <w:spacing w:line="480" w:lineRule="auto"/>
      </w:pPr>
      <w:r>
        <w:t>[20] Schneeweiss S, Rassen JA, Glynn RJ, Avorn J, Mogun H, Brookhart MA. High-dimensional propensity score adjustment in studies of treatment effects using health care claims data. Epidemiology. 2009;20(4):512–522.</w:t>
      </w:r>
    </w:p>
    <w:p>
      <w:pPr>
        <w:spacing w:line="480" w:lineRule="auto"/>
      </w:pPr>
      <w:r>
        <w:t>[21] Tchetgen Tchetgen EJ, Ying A, Cui Y, Shi X, Miao W. An introduction to proximal causal inference. Stat Sci. 2024;39(3):375–390.</w:t>
      </w:r>
    </w:p>
    <w:p>
      <w:pPr>
        <w:spacing w:line="480" w:lineRule="auto"/>
      </w:pPr>
      <w:r>
        <w:t>[22] McLachlan GJ, Peel D. Finite Mixture Models. New York: Wiley; 2000.</w:t>
      </w:r>
    </w:p>
    <w:p>
      <w:pPr>
        <w:spacing w:line="480" w:lineRule="auto"/>
      </w:pPr>
      <w:r>
        <w:t>[23] Morris TP, White IR, Crowther MJ. Using simulation studies to evaluate statistical methods. Stat Med. 2019;38(11):2074–2102.</w:t>
      </w:r>
    </w:p>
    <w:p>
      <w:pPr>
        <w:spacing w:line="480" w:lineRule="auto"/>
      </w:pPr>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