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In IPD meta-analysis, marginal treatment-effect estimates can be biased when hidden effect modifiers are ignored. We propose Incoherence-Oriented Neutralisation and Extraction (IONE), an exploratory diagnostic for hidden effect modification.</w:t>
      </w:r>
    </w:p>
    <w:p>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w:t>
      </w:r>
    </w:p>
    <w:p>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Sensitivity analyses showed that bias reduction depends most on sample size and effect-modification strength, and the diagnostics remained informative under non-linear covariate mappings.</w:t>
      </w:r>
    </w:p>
    <w:p>
      <w:r/>
      <w:r>
        <w:rPr>
          <w:b/>
        </w:rPr>
        <w:t>Conclusions:</w:t>
      </w:r>
      <w:r>
        <w:t xml:space="preserve"> IONE is a transparent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[1]. In an individual participant data (IPD) meta-analysis, the original participant-level data are collected and re-analysed, which preserves covariate and subgroup information and can improve power for treatment-covariate interactions [2][3]. A random-effects analysis is widely recommended when between-study heterogeneity is suspected [4][5][6].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[7][8].</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 The term "neutralisation" refers to reducing the misleading influence of a marginal summary that conflates heterogeneous subgroups, by extracting coherent subpopulations for separate analysis.</w:t>
      </w:r>
    </w:p>
    <w:p>
      <w:r>
        <w:t>Observational studies, particularly retrospective cohort studies, are indispensable for generating real-world evidence on treatment effects and risk factors when randomised controlled trials are infeasible or unethical [9][10].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[11]; Simpson's paradox, where the direction of an association observed in the aggregate reverses within subgroups [12][13]; undetected effect modification, where treatment effects genuinely differ across subpopulations but are reported as a single "average" effect that may not apply to any individual subgroup [14]; the ecological fallacy, where aggregate-level associations are inappropriately generalised to individuals [15]; and non-collapsibility, a mathematical property by which non-linear effect measures such as the odds ratio yield marginal estimates that differ from conditional estimates even in the absence of confounding [8].</w:t>
      </w:r>
    </w:p>
    <w:p>
      <w:r>
        <w:t xml:space="preserve">These biases are not merely theoretical concerns. Simpson's paradox has been documented in landmark studies across medicine and social science: kidney stone treatment comparisons where the inferior treatment appeared superior in aggregate [16], university admissions data where apparent gender discrimination reversed at the departmental level [17], COVID-19 case fatality rate comparisons that were confounded by national differences in age distributions [18], vaccine effectiveness evaluations that appeared to show vaccine failure due to age-related confounding [19], and smoking–mortality studies where smokers appeared to have lower mortality due to confounding by age [20].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[12][13].</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[21]. The prognostic score predicts the outcome under no treatment and provides an alternative basis for stratification [22][23]. The disease risk score (DRS) constructs an outcome prediction model using untreated subjects only [23]. Instrumental variable methods exploit variables that affect treatment but not the outcome directly [24]. More recently, the high-dimensional propensity score (hdPS) algorithm automatically extracts thousands of candidate proxy variables from claims data to approximate unmeasured confounding [25][26].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[25][27].</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[25]. Proximal causal inference formalises the use of proxy variables for identification of causal effects in the presence of unmeasured confounding [28]. Latent class analysis and finite mixture models seek to identify unobserved subgroups from patterns in observed variables [29].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a conventional baseline characteristics table providing only descriptive summaries that cannot formally test for hidden subgroup structure [30].</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 xml:space="preserve">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w:t>
      </w:r>
      <m:oMath>
        <m:sSup>
          <m:e>
            <m:r>
              <m:t xml:space="preserve">I</m:t>
            </m:r>
          </m:e>
          <m:sup>
            <m:r>
              <m:t xml:space="preserve">2</m:t>
            </m:r>
          </m:sup>
        </m:sSup>
      </m:oMath>
      <w:r>
        <w:t xml:space="preserve"> heterogeneity statistic [5]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[31].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[4].</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w:t>
      </w:r>
    </w:p>
    <w:p>
      <w:r>
        <w:t>We additionally examined four robustness scenarios. First, sample-size sensitivity was evaluated with n=500, 2000 and 10000, fixing K=5 and the same moderate Z-to-X and Z-to-Y effects. Second, we varied the strength of the Z-to-Y effect (effect scale = 0.5, 1.0 and 2.0) while holding sample size, strata count and Z-to-X influence constant. Third, we varied the strength of the Z-to-X influence (influence scale = 0.2, 0.5 and 1.0), which governs how much information about the hidden modifiers is carried by the measured covariates. Finally, we introduced a non-linear Z-to-X mapping in which the continuous component was transformed by a quadratic term and a log-normal scale transformation; this tests whether methods that rely on linear Y-on-X or X-space relationships remain effective when covariates encode the hidden structure non-linearly. The primary and strata-sensitivity scenarios used 50 replications; the extended robustness scenarios used 10 replications to keep computational cost manageable.</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t xml:space="preserve"> A logistic regression model predicting Y from X1-X10 is fitted. Observations are stratified by equal-frequency quantiles of the predicted probability </w:t>
      </w:r>
      <m:oMath>
        <m:acc>
          <m:accPr>
            <m:chr m:val="^"/>
          </m:accPr>
          <m:e>
            <m:r>
              <m:t xml:space="preserve">p</m:t>
            </m:r>
          </m:e>
        </m:acc>
      </m:oMath>
      <w:r>
        <w:t xml:space="preserve">. This is analogous to a prognostic score [22] estimated without access to the critical variables.</w:t>
      </w:r>
    </w:p>
    <w:p>
      <w:pPr>
        <w:pStyle w:val="ListBullet"/>
      </w:pPr>
      <w:r/>
      <w:r>
        <w:rPr>
          <w:b/>
        </w:rPr>
        <w:t>Method 1B (Residual):</w:t>
      </w:r>
      <w:r>
        <w:t xml:space="preserve"> From the same logistic regression, the absolute residual </w:t>
      </w:r>
      <m:oMath>
        <m:r>
          <m:t xml:space="preserve">|Y - </m:t>
        </m:r>
        <m:acc>
          <m:accPr>
            <m:chr m:val="^"/>
          </m:accPr>
          <m:e>
            <m:r>
              <m:t xml:space="preserve">p</m:t>
            </m:r>
          </m:e>
        </m:acc>
        <m:r>
          <m:t xml:space="preserve">|</m:t>
        </m:r>
      </m:oMath>
      <w:r>
        <w:t xml:space="preserve"> is computed for each observation. Observations are stratified by quantiles of </w:t>
      </w:r>
      <m:oMath>
        <m:r>
          <m:t xml:space="preserve">|Y - </m:t>
        </m:r>
        <m:acc>
          <m:accPr>
            <m:chr m:val="^"/>
          </m:accPr>
          <m:e>
            <m:r>
              <m:t xml:space="preserve">p</m:t>
            </m:r>
          </m:e>
        </m:acc>
        <m:r>
          <m:t xml:space="preserve">|</m:t>
        </m:r>
      </m:oMath>
      <w:r>
        <w:t xml:space="preserve">.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[21].</w:t>
      </w:r>
    </w:p>
    <w:p>
      <w:pPr>
        <w:pStyle w:val="ListBullet"/>
      </w:pPr>
      <w:r/>
      <w:r>
        <w:rPr>
          <w:b/>
        </w:rPr>
        <w:t>Gaussian mixture model (GMM):</w:t>
      </w:r>
      <w:r>
        <w:t xml:space="preserve"> A GMM with K components is fitted to the standardised X variables, and the posterior component assignment is used as the stratum label [29].</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[22].</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t xml:space="preserve">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t>
      </w:r>
      <m:oMath>
        <m:sSub>
          <m:e>
            <m:r>
              <m:t xml:space="preserve">W</m:t>
            </m:r>
          </m:e>
          <m:sub>
            <m:r>
              <m:t xml:space="preserve">est</m:t>
            </m:r>
          </m:sub>
        </m:sSub>
      </m:oMath>
      <w:r>
        <w:t xml:space="preserve">. Outcome-free methods used the full sample for both assignment and estimation.</w:t>
      </w:r>
    </w:p>
    <w:p>
      <w:pPr>
        <w:pStyle w:val="Heading2"/>
      </w:pPr>
      <w:r>
        <w:t>Synthesis of stratum-specific effects</w:t>
      </w:r>
    </w:p>
    <w:p>
      <w:r>
        <w:t xml:space="preserve">For each discovered stratum we computed the risk difference </w:t>
      </w:r>
      <m:oMath>
        <m:r>
          <m:t xml:space="preserve">P(Y=1|A=1) - P(Y=1|A=0)</m:t>
        </m:r>
      </m:oMath>
      <w:r>
        <w:t xml:space="preserve"> and its standard error. A two-stage fixed-effect summary was the stratum-size-weighted average of these risk differences. A DerSimonian-Laird random-effects summary added an estimate of between-stratum variance and re-weighted stratum estimates accordingly [4]. We also report the resulting </w:t>
      </w:r>
      <m:oMath>
        <m:sSup>
          <m:e>
            <m:r>
              <m:t xml:space="preserve">τ</m:t>
            </m:r>
          </m:e>
          <m:sup>
            <m:r>
              <m:t xml:space="preserve">2</m:t>
            </m:r>
          </m:sup>
        </m:sSup>
      </m:oMath>
      <w:r>
        <w:t xml:space="preserve"> and </w:t>
      </w:r>
      <m:oMath>
        <m:sSup>
          <m:e>
            <m:r>
              <m:t xml:space="preserve">I</m:t>
            </m:r>
          </m:e>
          <m:sup>
            <m:r>
              <m:t xml:space="preserve">2</m:t>
            </m:r>
          </m:sup>
        </m:sSup>
      </m:oMath>
      <w:r>
        <w:t xml:space="preserve"> as summaries of between-stratum heterogeneity on the risk-difference scale. The random-effects synthesis treats discovered strata as studies in a conventional meta-analysis, allowing the stratum-specific effects to vary. "Neutralisation" in IONE denotes reducing the misleading influence of a marginal summary that conflates heterogeneous subgroups, by extracting coherent subpopulations for separate analysis. Two caveats apply here. First, because the strata are discovered from the same data, the stratum-specific estimates are not independent study-level estimates; DerSimonian-Laird is used as a convenient synthesis that borrows strength across strata and should not be interpreted as a conventional between-study random-effects model. Second, C1 is computed from stratum-specific log odds ratios while the ATE bias is on the risk-difference scale, so C1 is an indirect diagnostic of hidden effect modification rather than a direct measure of ATE bias.</w:t>
      </w:r>
    </w:p>
    <w:p>
      <w:pPr>
        <w:pStyle w:val="Heading2"/>
      </w:pPr>
      <w:r>
        <w:t>Evaluation metrics</w:t>
      </w:r>
    </w:p>
    <w:p>
      <w:r>
        <w:t>For each method we report:</w:t>
      </w:r>
    </w:p>
    <w:p>
      <w:pPr>
        <w:pStyle w:val="ListBullet"/>
      </w:pPr>
      <w:r/>
      <w:r>
        <w:rPr>
          <w:b/>
        </w:rPr>
        <w:t>Adjusted Rand Index (ARI)</w:t>
      </w:r>
      <w:r>
        <w:t xml:space="preserve"> [32]: agreement between estimated strata and a constructed true-Z partition, corrected for chance. Range [-1, 1]; 1 = perfect agreement; 0 = chance level.</w:t>
      </w:r>
    </w:p>
    <w:p>
      <w:pPr>
        <w:pStyle w:val="ListBullet"/>
      </w:pPr>
      <m:oMath>
        <m:r>
          <m:t xml:space="preserve">C1 = 1 - </m:t>
        </m:r>
        <m:sSup>
          <m:e>
            <m:r>
              <m:t xml:space="preserve">I</m:t>
            </m:r>
          </m:e>
          <m:sup>
            <m:r>
              <m:t xml:space="preserve">2</m:t>
            </m:r>
          </m:sup>
        </m:sSup>
      </m:oMath>
      <w:r>
        <w:t xml:space="preserve">, where </w:t>
      </w:r>
      <m:oMath>
        <m:sSup>
          <m:e>
            <m:r>
              <m:t xml:space="preserve">I</m:t>
            </m:r>
          </m:e>
          <m:sup>
            <m:r>
              <m:t xml:space="preserve">2</m:t>
            </m:r>
          </m:sup>
        </m:sSup>
      </m:oMath>
      <w:r>
        <w:t xml:space="preserve"> is the heterogeneity statistic [5] applied to stratum-specific log odds ratios of A on Y. Lower C1 indicates stronger between-stratum heterogeneity (an incoherent pooled population); higher C1 indicates more homogeneous effects (coherent strata).</w:t>
      </w:r>
    </w:p>
    <w:p>
      <w:pPr>
        <w:pStyle w:val="ListBullet"/>
      </w:pPr>
      <m:oMath>
        <m:sSub>
          <m:e>
            <m:r>
              <m:t xml:space="preserve">W</m:t>
            </m:r>
          </m:e>
          <m:sub>
            <m:r>
              <m:t xml:space="preserve">true</m:t>
            </m:r>
          </m:sub>
        </m:sSub>
      </m:oMath>
      <w:r>
        <w:t xml:space="preserve"> and </w:t>
      </w:r>
      <m:oMath>
        <m:sSub>
          <m:e>
            <m:r>
              <m:t xml:space="preserve">W</m:t>
            </m:r>
          </m:e>
          <m:sub>
            <m:r>
              <m:t xml:space="preserve">est</m:t>
            </m:r>
          </m:sub>
        </m:sSub>
      </m:oMath>
      <w:r>
        <w:t xml:space="preserve">: the proportion of total CATE variance explained by the stratification, computed using either the true individual CATE (simulation-only) or an estimated CATE from a flexible </w:t>
      </w:r>
      <m:oMath>
        <m:r>
          <m:t xml:space="preserve">Y ~ X + A + X×A</m:t>
        </m:r>
      </m:oMath>
      <w:r>
        <w:t xml:space="preserve"> logistic model (operational diagnostic).</w:t>
      </w:r>
    </w:p>
    <w:p>
      <w:pPr>
        <w:pStyle w:val="ListBullet"/>
      </w:pPr>
      <w:r/>
      <w:r>
        <w:rPr>
          <w:b/>
        </w:rPr>
        <w:t>ATE bias reduction</w:t>
      </w:r>
      <w:r>
        <w:t xml:space="preserve"> on the risk-difference scale, reported as the absolute difference </w:t>
      </w:r>
      <m:oMath>
        <m:r>
          <m:t xml:space="preserve">|bias_crude| - |bias_stratified|</m:t>
        </m:r>
      </m:oMath>
      <w:r>
        <w:t xml:space="preserve"> and </w:t>
      </w:r>
      <m:oMath>
        <m:r>
          <m:t xml:space="preserve">|bias_crude| - |bias_re|</m:t>
        </m:r>
      </m:oMath>
      <w:r>
        <w:t xml:space="preserve">, and as the relative ratio </w:t>
      </w:r>
      <m:oMath>
        <m:r>
          <m:t xml:space="preserve">1 - </m:t>
        </m:r>
        <m:f>
          <m:num>
            <m:r>
              <m:t xml:space="preserve">|bias_stratified|</m:t>
            </m:r>
          </m:num>
          <m:den>
            <m:r>
              <m:t xml:space="preserve">|bias_crude|</m:t>
            </m:r>
          </m:den>
        </m:f>
      </m:oMath>
      <w:r>
        <w:t xml:space="preserve">.</w:t>
      </w:r>
    </w:p>
    <w:p>
      <w:pPr>
        <w:pStyle w:val="ListBullet"/>
      </w:pPr>
      <w:r>
        <w:t>Monte Carlo standard errors and 95% confidence intervals for every mean.</w:t>
      </w:r>
    </w:p>
    <w:p>
      <w:r>
        <w:t xml:space="preserve">The true-Z partition is an operational construct: k-means clustering applied to the standardised Z-space with K equal to the number of strata. ARI therefore measures agreement with a constructed reference rather than with clinically observed subgroups. </w:t>
      </w:r>
      <m:oMath>
        <m:sSub>
          <m:e>
            <m:r>
              <m:t xml:space="preserve">W</m:t>
            </m:r>
          </m:e>
          <m:sub>
            <m:r>
              <m:t xml:space="preserve">true</m:t>
            </m:r>
          </m:sub>
        </m:sSub>
      </m:oMath>
      <w:r>
        <w:t xml:space="preserve"> is available only in simulation; </w:t>
      </w:r>
      <m:oMath>
        <m:sSub>
          <m:e>
            <m:r>
              <m:t xml:space="preserve">W</m:t>
            </m:r>
          </m:e>
          <m:sub>
            <m:r>
              <m:t xml:space="preserve">est</m:t>
            </m:r>
          </m:sub>
        </m:sSub>
      </m:oMath>
      <w:r>
        <w:t xml:space="preserve"> is the operational diagnostic that can be computed in real data, although it requires a correctly specified outcome model and should be interpreted cautiously. C1 is derived from log odds ratio heterogeneity and is reported alongside risk-difference bias reduction; the two metrics operate on different scales, so a low C1 signals incoherence but does not by itself quantify ATE bias.</w:t>
      </w:r>
    </w:p>
    <w:p>
      <w:pPr>
        <w:pStyle w:val="Heading2"/>
      </w:pPr>
      <w:r>
        <w:t>Semi-synthetic illustrations</w:t>
      </w:r>
    </w:p>
    <w:p>
      <w:r>
        <w:t>Five well-known Simpson-paradox examples were reconstructed as pseudo-individual records from published aggregate statistics: kidney stone treatments [16], UC Berkeley admissions [17], COVID-19 case fatality rates [18], Israeli vaccine effectiveness [19], and smoking-mortality [20]. For each example, pseudo-general variables were generated to mimic proxies of the known confounder, and the same IONE methods were applied. The candidate numbers of strata were selected a priori, before any method was run, as the sorted unique values of the set {2, 3, min(K_true, 4), K_true}, where K_true is the number of categories of the known confounder in the published example. Because the candidate set is fixed before the analysis, it avoids post hoc selection and the reported K for each dataset is the value that maximised ARI within this prespecified set. The Morris [19]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[31].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t xml:space="preserve">Table 1 summarises the primary IPD scenario (n=2000, 10 studies, K=5 strata, 50 replications). Extraction of the true hidden structure was modest. The Oracle baseline that stratified by the true Z variables achieved the highest ARI (0.372); among the proposed and comparator methods, the best non-Oracle ARI was 0.032 (1B_residual). The average C1 across methods was 0.889, and average within-stratum homogeneity was limited (mean </w:t>
      </w:r>
      <m:oMath>
        <m:sSub>
          <m:e>
            <m:r>
              <m:t xml:space="preserve">W</m:t>
            </m:r>
          </m:e>
          <m:sub>
            <m:r>
              <m:t xml:space="preserve">true</m:t>
            </m:r>
          </m:sub>
        </m:sSub>
      </m:oMath>
      <w:r>
        <w:t xml:space="preserve"> = 0.242; mean </w:t>
      </w:r>
      <m:oMath>
        <m:sSub>
          <m:e>
            <m:r>
              <m:t xml:space="preserve">W</m:t>
            </m:r>
          </m:e>
          <m:sub>
            <m:r>
              <m:t xml:space="preserve">est</m:t>
            </m:r>
          </m:sub>
        </m:sSub>
      </m:oMath>
      <w:r>
        <w:t xml:space="preserve">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 reached an ARI of 0.032, substantially below the Oracle k-means baseline (ARI 0.372).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t xml:space="preserve">C1 behaved in the expected direction: methods that produced strata closer to the Oracle had C1 values closer to 1, whereas random stratification yielded a C1 of 0.883. However, the range of C1 values was compressed and the diagnostic does not, by itself, identify which method is most trustworthy. </w:t>
      </w:r>
      <m:oMath>
        <m:sSub>
          <m:e>
            <m:r>
              <m:t xml:space="preserve">W</m:t>
            </m:r>
          </m:e>
          <m:sub>
            <m:r>
              <m:t xml:space="preserve">true</m:t>
            </m:r>
          </m:sub>
        </m:sSub>
      </m:oMath>
      <w:r>
        <w:t xml:space="preserve"> was larger than </w:t>
      </w:r>
      <m:oMath>
        <m:sSub>
          <m:e>
            <m:r>
              <m:t xml:space="preserve">W</m:t>
            </m:r>
          </m:e>
          <m:sub>
            <m:r>
              <m:t xml:space="preserve">est</m:t>
            </m:r>
          </m:sub>
        </m:sSub>
      </m:oMath>
      <w:r>
        <w:t xml:space="preserve"> for most methods, reflecting the fact that the estimated CATE model (</w:t>
      </w:r>
      <m:oMath>
        <m:r>
          <m:t xml:space="preserve">Y ~ X + A + X×A</m:t>
        </m:r>
      </m:oMath>
      <w:r>
        <w:t xml:space="preserve">) can only capture part of the true CATE variation. </w:t>
      </w:r>
      <m:oMath>
        <m:sSub>
          <m:e>
            <m:r>
              <m:t xml:space="preserve">W</m:t>
            </m:r>
          </m:e>
          <m:sub>
            <m:r>
              <m:t xml:space="preserve">est</m:t>
            </m:r>
          </m:sub>
        </m:sSub>
      </m:oMath>
      <w:r>
        <w:t xml:space="preserve">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[19][16][17][18][20].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3. Best real-data illustration result per dataset (oracle baselines excluded).</w:t>
      </w:r>
      <w:r/>
    </w:p>
    <w:p>
      <w:pPr>
        <w:spacing w:after="120"/>
        <w:jc w:val="center"/>
      </w:pPr>
      <w:r>
        <w:drawing>
          <wp:inline xmlns:a="http://schemas.openxmlformats.org/drawingml/2006/main" xmlns:pic="http://schemas.openxmlformats.org/drawingml/2006/picture">
            <wp:extent cx="5303520" cy="2410691"/>
            <wp:docPr id="3" name="Picture 3" descr="Figure 3. Real-data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Real-data illustration: ARI by dataset and method.</w:t>
      </w:r>
    </w:p>
    <w:p>
      <w:pPr>
        <w:pStyle w:val="Heading2"/>
      </w:pPr>
      <w:r>
        <w:t>Sensitivity to sample size</w:t>
      </w:r>
    </w:p>
    <w:p>
      <w:r>
        <w:t>To assess whether the findings depend on the total number of participants, we repeated the primary scenario with n = 500, 2000 and 10 000, fixing K = 5 and the moderate Z-to-X and Z-to-Y effects. Figure 4 summarises the results for the leading methods, and Supplementary Table S2 gives the full numerical results. Because this extended sensitivity used only 10 replications per cell, the point estimates are noisier than in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and remained noisy at this number of replications. This mixed pattern confirms that the practical value of IONE depends on the interplay between sample size and method choice: with small samples, estimation error dominates; with large samples, remaining bias reflects structural limits of the selected stratification.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influence strength</w:t>
      </w:r>
    </w:p>
    <w:p>
      <w:r>
        <w:t xml:space="preserve">The Z-to-X influence scale governs how much information the measured covariates carry about the hidden modifiers. Supplementary 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p>
      <w:pPr>
        <w:pStyle w:val="Heading2"/>
      </w:pPr>
      <w:r>
        <w:t>Sensitivity to Z-to-Y effect strength</w:t>
      </w:r>
    </w:p>
    <w:p>
      <w:r>
        <w:t xml:space="preserve">The Z-to-Y effect scale determines the magnitude of the hidden effect modification. Supplementary 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p>
      <w:pPr>
        <w:pStyle w:val="Heading2"/>
      </w:pPr>
      <w:r>
        <w:t>Robustness to non-linear Z-to-X mappings</w:t>
      </w:r>
    </w:p>
    <w:p>
      <w:r>
        <w:t>In real applications the mapping from hidden modifiers to measured covariates need not be linear. We therefore repeated the primary scenario with a non-linear Z-to-X transformation that included a quadratic term and a log-normal scale transformation. Table 7 compares the random-effects bias under the linear and non-linear mappings for the leading methods, and Figure 5 displays the same comparison. The effect of non-linearity was method-dependent: the outcome-residual and clustering-based approaches achieved somewhat larger relative bias reductions under the transformed mapping, the propensity-score and GMM approaches showed small improvements, and the prognostic-score approach showed a modest decline. No leading method was dramatically degraded by the transformation, indicating that the IONE diagnostics remain useful when measured covariates are non-linear functions of the hidden structure, although the relative ranking of methods can shift.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0.00057</w:t>
            </w:r>
          </w:p>
        </w:tc>
        <w:tc>
          <w:tcPr>
            <w:tcW w:type="dxa" w:w="960"/>
          </w:tcPr>
          <w:p>
            <w:r>
              <w:t>0.602</w:t>
            </w:r>
          </w:p>
        </w:tc>
        <w:tc>
          <w:tcPr>
            <w:tcW w:type="dxa" w:w="960"/>
          </w:tcPr>
          <w:p>
            <w:r>
              <w:t>0.313</w:t>
            </w:r>
          </w:p>
        </w:tc>
        <w:tc>
          <w:tcPr>
            <w:tcW w:type="dxa" w:w="960"/>
          </w:tcPr>
          <w:p>
            <w:r>
              <w:t>0.00664</w:t>
            </w:r>
          </w:p>
        </w:tc>
        <w:tc>
          <w:tcPr>
            <w:tcW w:type="dxa" w:w="960"/>
          </w:tcPr>
          <w:p>
            <w:r>
              <w:t>0.00083</w:t>
            </w:r>
          </w:p>
        </w:tc>
        <w:tc>
          <w:tcPr>
            <w:tcW w:type="dxa" w:w="960"/>
          </w:tcPr>
          <w:p>
            <w:r>
              <w:t>0.690</w:t>
            </w:r>
          </w:p>
        </w:tc>
        <w:tc>
          <w:tcPr>
            <w:tcW w:type="dxa" w:w="960"/>
          </w:tcPr>
          <w:p>
            <w:r>
              <w:t>0.236</w:t>
            </w:r>
          </w:p>
        </w:tc>
      </w:tr>
      <w:tr>
        <w:tc>
          <w:tcPr>
            <w:tcW w:type="dxa" w:w="960"/>
          </w:tcPr>
          <w:p>
            <w:r>
              <w:t>PS_propensity_score</w:t>
            </w:r>
          </w:p>
        </w:tc>
        <w:tc>
          <w:tcPr>
            <w:tcW w:type="dxa" w:w="960"/>
          </w:tcPr>
          <w:p>
            <w:r>
              <w:t>0.02162</w:t>
            </w:r>
          </w:p>
        </w:tc>
        <w:tc>
          <w:tcPr>
            <w:tcW w:type="dxa" w:w="960"/>
          </w:tcPr>
          <w:p>
            <w:r>
              <w:t>0.00412</w:t>
            </w:r>
          </w:p>
        </w:tc>
        <w:tc>
          <w:tcPr>
            <w:tcW w:type="dxa" w:w="960"/>
          </w:tcPr>
          <w:p>
            <w:r>
              <w:t>-0.011</w:t>
            </w:r>
          </w:p>
        </w:tc>
        <w:tc>
          <w:tcPr>
            <w:tcW w:type="dxa" w:w="960"/>
          </w:tcPr>
          <w:p>
            <w:r>
              <w:t>1.230</w:t>
            </w:r>
          </w:p>
        </w:tc>
        <w:tc>
          <w:tcPr>
            <w:tcW w:type="dxa" w:w="960"/>
          </w:tcPr>
          <w:p>
            <w:r>
              <w:t>0.02084</w:t>
            </w:r>
          </w:p>
        </w:tc>
        <w:tc>
          <w:tcPr>
            <w:tcW w:type="dxa" w:w="960"/>
          </w:tcPr>
          <w:p>
            <w:r>
              <w:t>0.00566</w:t>
            </w:r>
          </w:p>
        </w:tc>
        <w:tc>
          <w:tcPr>
            <w:tcW w:type="dxa" w:w="960"/>
          </w:tcPr>
          <w:p>
            <w:r>
              <w:t>0.027</w:t>
            </w:r>
          </w:p>
        </w:tc>
        <w:tc>
          <w:tcPr>
            <w:tcW w:type="dxa" w:w="960"/>
          </w:tcPr>
          <w:p>
            <w:r>
              <w:t>0.245</w:t>
            </w:r>
          </w:p>
        </w:tc>
      </w:tr>
      <w:tr>
        <w:tc>
          <w:tcPr>
            <w:tcW w:type="dxa" w:w="960"/>
          </w:tcPr>
          <w:p>
            <w:r>
              <w:t>GMM</w:t>
            </w:r>
          </w:p>
        </w:tc>
        <w:tc>
          <w:tcPr>
            <w:tcW w:type="dxa" w:w="960"/>
          </w:tcPr>
          <w:p>
            <w:r>
              <w:t>0.02180</w:t>
            </w:r>
          </w:p>
        </w:tc>
        <w:tc>
          <w:tcPr>
            <w:tcW w:type="dxa" w:w="960"/>
          </w:tcPr>
          <w:p>
            <w:r>
              <w:t>0.00547</w:t>
            </w:r>
          </w:p>
        </w:tc>
        <w:tc>
          <w:tcPr>
            <w:tcW w:type="dxa" w:w="960"/>
          </w:tcPr>
          <w:p>
            <w:r>
              <w:t>-0.020</w:t>
            </w:r>
          </w:p>
        </w:tc>
        <w:tc>
          <w:tcPr>
            <w:tcW w:type="dxa" w:w="960"/>
          </w:tcPr>
          <w:p>
            <w:r>
              <w:t>0.544</w:t>
            </w:r>
          </w:p>
        </w:tc>
        <w:tc>
          <w:tcPr>
            <w:tcW w:type="dxa" w:w="960"/>
          </w:tcPr>
          <w:p>
            <w:r>
              <w:t>0.01746</w:t>
            </w:r>
          </w:p>
        </w:tc>
        <w:tc>
          <w:tcPr>
            <w:tcW w:type="dxa" w:w="960"/>
          </w:tcPr>
          <w:p>
            <w:r>
              <w:t>0.00629</w:t>
            </w:r>
          </w:p>
        </w:tc>
        <w:tc>
          <w:tcPr>
            <w:tcW w:type="dxa" w:w="960"/>
          </w:tcPr>
          <w:p>
            <w:r>
              <w:t>0.185</w:t>
            </w:r>
          </w:p>
        </w:tc>
        <w:tc>
          <w:tcPr>
            <w:tcW w:type="dxa" w:w="960"/>
          </w:tcPr>
          <w:p>
            <w:r>
              <w:t>0.214</w:t>
            </w:r>
          </w:p>
        </w:tc>
      </w:tr>
      <w:tr>
        <w:tc>
          <w:tcPr>
            <w:tcW w:type="dxa" w:w="960"/>
          </w:tcPr>
          <w:p>
            <w:r>
              <w:t>Prognostic_score</w:t>
            </w:r>
          </w:p>
        </w:tc>
        <w:tc>
          <w:tcPr>
            <w:tcW w:type="dxa" w:w="960"/>
          </w:tcPr>
          <w:p>
            <w:r>
              <w:t>0.01536</w:t>
            </w:r>
          </w:p>
        </w:tc>
        <w:tc>
          <w:tcPr>
            <w:tcW w:type="dxa" w:w="960"/>
          </w:tcPr>
          <w:p>
            <w:r>
              <w:t>0.00531</w:t>
            </w:r>
          </w:p>
        </w:tc>
        <w:tc>
          <w:tcPr>
            <w:tcW w:type="dxa" w:w="960"/>
          </w:tcPr>
          <w:p>
            <w:r>
              <w:t>0.281</w:t>
            </w:r>
          </w:p>
        </w:tc>
        <w:tc>
          <w:tcPr>
            <w:tcW w:type="dxa" w:w="960"/>
          </w:tcPr>
          <w:p>
            <w:r>
              <w:t>0.230</w:t>
            </w:r>
          </w:p>
        </w:tc>
        <w:tc>
          <w:tcPr>
            <w:tcW w:type="dxa" w:w="960"/>
          </w:tcPr>
          <w:p>
            <w:r>
              <w:t>0.01762</w:t>
            </w:r>
          </w:p>
        </w:tc>
        <w:tc>
          <w:tcPr>
            <w:tcW w:type="dxa" w:w="960"/>
          </w:tcPr>
          <w:p>
            <w:r>
              <w:t>0.00442</w:t>
            </w:r>
          </w:p>
        </w:tc>
        <w:tc>
          <w:tcPr>
            <w:tcW w:type="dxa" w:w="960"/>
          </w:tcPr>
          <w:p>
            <w:r>
              <w:t>0.178</w:t>
            </w:r>
          </w:p>
        </w:tc>
        <w:tc>
          <w:tcPr>
            <w:tcW w:type="dxa" w:w="960"/>
          </w:tcPr>
          <w:p>
            <w:r>
              <w:t>0.247</w:t>
            </w:r>
          </w:p>
        </w:tc>
      </w:tr>
      <w:tr>
        <w:tc>
          <w:tcPr>
            <w:tcW w:type="dxa" w:w="960"/>
          </w:tcPr>
          <w:p>
            <w:r>
              <w:t>2B_clustering</w:t>
            </w:r>
          </w:p>
        </w:tc>
        <w:tc>
          <w:tcPr>
            <w:tcW w:type="dxa" w:w="960"/>
          </w:tcPr>
          <w:p>
            <w:r>
              <w:t>0.02077</w:t>
            </w:r>
          </w:p>
        </w:tc>
        <w:tc>
          <w:tcPr>
            <w:tcW w:type="dxa" w:w="960"/>
          </w:tcPr>
          <w:p>
            <w:r>
              <w:t>0.00573</w:t>
            </w:r>
          </w:p>
        </w:tc>
        <w:tc>
          <w:tcPr>
            <w:tcW w:type="dxa" w:w="960"/>
          </w:tcPr>
          <w:p>
            <w:r>
              <w:t>0.028</w:t>
            </w:r>
          </w:p>
        </w:tc>
        <w:tc>
          <w:tcPr>
            <w:tcW w:type="dxa" w:w="960"/>
          </w:tcPr>
          <w:p>
            <w:r>
              <w:t>0.514</w:t>
            </w:r>
          </w:p>
        </w:tc>
        <w:tc>
          <w:tcPr>
            <w:tcW w:type="dxa" w:w="960"/>
          </w:tcPr>
          <w:p>
            <w:r>
              <w:t>0.01649</w:t>
            </w:r>
          </w:p>
        </w:tc>
        <w:tc>
          <w:tcPr>
            <w:tcW w:type="dxa" w:w="960"/>
          </w:tcPr>
          <w:p>
            <w:r>
              <w:t>0.00540</w:t>
            </w:r>
          </w:p>
        </w:tc>
        <w:tc>
          <w:tcPr>
            <w:tcW w:type="dxa" w:w="960"/>
          </w:tcPr>
          <w:p>
            <w:r>
              <w:t>0.230</w:t>
            </w:r>
          </w:p>
        </w:tc>
        <w:tc>
          <w:tcPr>
            <w:tcW w:type="dxa" w:w="960"/>
          </w:tcPr>
          <w:p>
            <w:r>
              <w:t>0.182</w:t>
            </w:r>
          </w:p>
        </w:tc>
      </w:tr>
    </w:tbl>
    <w:p>
      <w:pPr>
        <w:spacing w:before="240"/>
      </w:pPr>
      <w:r/>
      <w:r>
        <w:rPr>
          <w:i/>
        </w:rPr>
        <w:t>Table 7.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1"/>
      </w:pPr>
      <w:r>
        <w:t>4. Discussion</w:t>
      </w:r>
    </w:p>
    <w:p>
      <w:pPr>
        <w:pStyle w:val="Heading2"/>
      </w:pPr>
      <w:r>
        <w:t>Principal findings</w:t>
      </w:r>
    </w:p>
    <w:p>
      <w:r>
        <w:t>This study frames Incoherence-Oriented Neutralisation and Extraction (IONE) as an exploratory diagnostic for hidden effect modification in individual participant data (IPD) meta-analysis. Two main findings emerge.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r>
        <w:t>Despite the modest recovery of the true partition, the best data-driven method reduced the crude ATE bias from 0.01865 to 0.00816 on the risk-difference scale (relative reduction 0.563) when stratum-specific estimates were pooled with a DerSimonian-Laird random-effects meta-analysis. The additional bias reduction from random-effects pooling, relative to a simple fixed-effect stratum-size-weighted summary, shows why stratum-specific effects should be allowed to vary once hidden heterogeneity has been flagged.</w:t>
      </w:r>
    </w:p>
    <w:p>
      <w:pPr>
        <w:pStyle w:val="Heading2"/>
      </w:pPr>
      <w:r>
        <w:t>Detection versus extraction</w:t>
      </w:r>
    </w:p>
    <w:p>
      <w:r>
        <w:t xml:space="preserve">A two-tier interpretation is useful in practice. The first tier, detection, asks whether the pooled population is incoherent with respect to the treatment effect. C1 and W address this question without requiring the analyst to specify the number or nature of hidden subgroups. If C1 is low and </w:t>
      </w:r>
      <m:oMath>
        <m:sSub>
          <m:e>
            <m:r>
              <m:t xml:space="preserve">W</m:t>
            </m:r>
          </m:e>
          <m:sub>
            <m:r>
              <m:t xml:space="preserve">est</m:t>
            </m:r>
          </m:sub>
        </m:sSub>
      </m:oMath>
      <w:r>
        <w:t xml:space="preserve"> is low, the analyst has evidence that a marginal summary may be misleading and should be interpreted cautiously. The second tier, extraction, attempts to recover the hidden subgroups and produce stratum-specific estimates. Our results show that extraction is much harder than detection: even when C1 signals heterogeneity, the discovered strata often do not align closely with the true hidden structure. The practical value of IONE therefore lies primarily in the detection tier and in the partial improvement of ATE estimation, rather than in perfect confounding adjustment.</w:t>
      </w:r>
    </w:p>
    <w:p>
      <w:pPr>
        <w:pStyle w:val="Heading2"/>
      </w:pPr>
      <w:r>
        <w:t>Comparison with existing methods</w:t>
      </w:r>
    </w:p>
    <w:p>
      <w:r>
        <w:t>IONE differs from established confounding adjustment methods in its objectives and assumptions. Propensity-score methods [21] and prognostic-score stratification [22] aim to balance or adjust for measured confounders; they are not designed to detect unmeasured population structure. The high-dimensional propensity-score algorithm [25] shares IONE's insight that proxy variables may carry information about unmeasured confounders, but it uses this information to improve propensity-score estimation rather than to identify subgroups or report a coherence diagnostic. Latent class analysis [29] seeks hidden subgroups but typically requires strong distributional assumptions and does not provide a transparent between-stratum heterogeneity statistic analogous to C1.</w:t>
      </w:r>
    </w:p>
    <w:p>
      <w:r>
        <w:t>IONE is best understood as complementary to these methods. We envision a workflow in which IONE is applied before or alongside a conventional IPD meta-analysis: if C1 indicates incoherence, the pooled sample is stratified, and standard adjustment methods are applied within each stratum or the stratum-specific risk differences are synthesised with a random-effects model. This two-stage approach—first assessing hidden population structure, then adjusting for measured confounders—may yield more reliable estimates than either approach alone, although our simulation shows the gains are modest under moderate Z-&gt;X trace strength.</w:t>
      </w:r>
    </w:p>
    <w:p>
      <w:pPr>
        <w:pStyle w:val="Heading2"/>
      </w:pPr>
      <w:r>
        <w:t>Strengths and limitations</w:t>
      </w:r>
    </w:p>
    <w:p>
      <w:r/>
      <w:r>
        <w:rPr>
          <w:b/>
        </w:rPr>
        <w:t>Strengths.</w:t>
      </w:r>
      <w:r>
        <w:t xml:space="preserve"> This simulation study followed the ADEMP framework [31], with transparent reporting of the data-generating mechanism, estimands, candidate methods, performance metrics and number of replications. All numerical results are produced by the repository scripts and inserted into the manuscript automatically, so the docx and markdown files can be regenerated without hand-entered numbers. The IPD data-generating mechanism includes study-level variation in baseline risk, treatment prevalence and covariate distributions, which mirrors the heterogeneity encountered in real IPD meta-analyses.</w:t>
      </w:r>
    </w:p>
    <w:p>
      <w:r/>
      <w:r>
        <w:rPr>
          <w:b/>
        </w:rPr>
        <w:t>Limitations.</w:t>
      </w:r>
      <w:r>
        <w:t xml:space="preserve"> Several limitations should be acknowledged. First, the primary scenario used a single total sample size (n=2000) and a moderate Z-&gt;X trace, although additional sensitivity analyses examined n=500 to 10 000, Z-to-Y effect scales, Z-to-X influence scales and a non-linear Z-&gt;X mapping.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m:oMath>
        <m:sSub>
          <m:e>
            <m:r>
              <m:t xml:space="preserve">W</m:t>
            </m:r>
          </m:e>
          <m:sub>
            <m:r>
              <m:t xml:space="preserve">est</m:t>
            </m:r>
          </m:sub>
        </m:sSub>
      </m:oMath>
      <w:r>
        <w:t xml:space="preserve"> depends on a correctly specified outcome model (</w:t>
      </w:r>
      <m:oMath>
        <m:r>
          <m:t xml:space="preserve">Y ~ X + A + X×A</m:t>
        </m:r>
      </m:oMath>
      <w:r>
        <w:t xml:space="preserve">). If the outcome model is misspecified, </w:t>
      </w:r>
      <m:oMath>
        <m:sSub>
          <m:e>
            <m:r>
              <m:t xml:space="preserve">W</m:t>
            </m:r>
          </m:e>
          <m:sub>
            <m:r>
              <m:t xml:space="preserve">est</m:t>
            </m:r>
          </m:sub>
        </m:sSub>
      </m:oMath>
      <w:r>
        <w:t xml:space="preserve"> may be misleading. Fourth, the DerSimonian-Laird synthesis treats discovered strata as if they were independent studies; because strata are derived from the same data set, the stratum estimates are not independent and the </w:t>
      </w:r>
      <m:oMath>
        <m:sSup>
          <m:e>
            <m:r>
              <m:t xml:space="preserve">τ</m:t>
            </m:r>
          </m:e>
          <m:sup>
            <m:r>
              <m:t xml:space="preserve">2</m:t>
            </m:r>
          </m:sup>
        </m:sSup>
      </m:oMath>
      <w:r>
        <w:t xml:space="preserve"> and </w:t>
      </w:r>
      <m:oMath>
        <m:sSup>
          <m:e>
            <m:r>
              <m:t xml:space="preserve">I</m:t>
            </m:r>
          </m:e>
          <m:sup>
            <m:r>
              <m:t xml:space="preserve">2</m:t>
            </m:r>
          </m:sup>
        </m:sSup>
      </m:oMath>
      <w:r>
        <w:t xml:space="preserve"> values should be viewed as summaries rather than as estimates of conventional between-study heterogeneity. Fifth, C1 is computed from stratum-specific log odds ratios while ATE bias is on the risk-difference scale; a low C1 is a signal of incoherence but does not directly quantify the magnitude of ATE bias. Sixth, the semi-synthetic illustrations use aggregate published data reconstructed as pseudo-individual records; they demonstrate favourable and unfavourable settings for stratification but are not validation in real individual-level IPD.</w:t>
      </w:r>
    </w:p>
    <w:p>
      <w:pPr>
        <w:pStyle w:val="Heading2"/>
      </w:pPr>
      <w:r>
        <w:t>Implications for practice</w:t>
      </w:r>
    </w:p>
    <w:p>
      <w:r>
        <w:t xml:space="preserve">We recommend that reports of IPD meta-analyses include a coherence assessment alongside the conventional summary of between-study heterogeneity. If C1 is low and </w:t>
      </w:r>
      <m:oMath>
        <m:sSub>
          <m:e>
            <m:r>
              <m:t xml:space="preserve">W</m:t>
            </m:r>
          </m:e>
          <m:sub>
            <m:r>
              <m:t xml:space="preserve">est</m:t>
            </m:r>
          </m:sub>
        </m:sSub>
      </m:oMath>
      <w:r>
        <w:t xml:space="preserve"> is small, the marginal effect should be interpreted cautiously, and the analyst should explore prespecified subgroups, measured treatment-covariate interactions and sensitivity analyses. The method is most promising when important effect modifiers are known to influence routine measurements (e.g. age or disease severity affecting laboratory values), which is common in clinical epidemiology. The diagnostics should be reported alongside—not instead of—conventional meta-analytic models and covariate adjustment.</w:t>
      </w:r>
    </w:p>
    <w:p>
      <w:pPr>
        <w:pStyle w:val="Heading2"/>
      </w:pPr>
      <w:r>
        <w:t>Future directions</w:t>
      </w:r>
    </w:p>
    <w:p>
      <w:r>
        <w:t>Several extensions would strengthen the framework. Survival outcomes are common in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IONE (Incoherence-Oriented Neutralisation and Extraction) is an exploratory diagnostic for hidden effect modification in IPD meta-analysis. Monte Carlo simulation and semi-synthetic examples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listing all Python dependencies, fixed random seeds for every scenario, and a </w:t>
      </w:r>
      <w:r>
        <w:rPr>
          <w:rFonts w:ascii="Courier New" w:hAnsi="Courier New"/>
        </w:rPr>
        <w:t>generate_summary.py</w:t>
      </w:r>
      <w:r>
        <w:t xml:space="preserve"> script that reproduces the CSV summaries from which the manuscript numbers are drawn. Running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in a Python 3.11 environment regenerates the main manuscript docx, tables docx and figure files. An archived release with a Zenodo DOI will be created before acceptance to satisfy long-term reproducibility requirements. The published aggregate datasets used for the semi-synthetic illustrations are referenced in the original publications [16][17][18][19][20].</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and the four extended sensitivity tables are provided in </w:t>
      </w:r>
      <w:r>
        <w:rPr>
          <w:rFonts w:ascii="Courier New" w:hAnsi="Courier New"/>
        </w:rPr>
        <w:t>biostatistics_supplementary_v3.docx</w:t>
      </w:r>
      <w:r>
        <w:t>.</w:t>
      </w:r>
    </w:p>
    <w:p>
      <w:pPr>
        <w:pStyle w:val="Heading2"/>
      </w:pPr>
      <w:r>
        <w:t>Artificial intelligence</w:t>
      </w:r>
    </w:p>
    <w:p>
      <w:r>
        <w:t>Manuscript text, Python code, and some analyses were drafted or revised using large language models (OpenAI GPT-4 and GPT-4o, accessed between August 2025 and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Hammerton G, Munafò MR. Causal inference with observational data: the need for triangulation of evidence. Psychol Med. 2021;51(4):563–578.</w:t>
      </w:r>
    </w:p>
    <w:p>
      <w:r>
        <w:t>[10] Hernán MA, Robins JM. Causal Inference: What If. Boca Raton: Chapman &amp; Hall/CRC; 2020.</w:t>
      </w:r>
    </w:p>
    <w:p>
      <w:r>
        <w:t>[11] VanderWeele TJ, Shpitser I. On the definition of a confounder. Ann Stat. 2013;41(1):196–220.</w:t>
      </w:r>
    </w:p>
    <w:p>
      <w:r>
        <w:t>[12] Simpson EH. The interpretation of interaction in contingency tables. J R Stat Soc Ser B. 1951;13(2):238–241.</w:t>
      </w:r>
    </w:p>
    <w:p>
      <w:r>
        <w:t>[13] Rojanaworarit C. Misleading epidemiological and statistical evidence in the presence of Simpson's paradox: an illustrative study using simulated scenarios. J Med Life. 2020;13(1):37–44.</w:t>
      </w:r>
    </w:p>
    <w:p>
      <w:r>
        <w:t>[14] VanderWeele TJ, Knol MJ. A tutorial on interaction. Epidemiol Methods. 2014;3(1):33–72.</w:t>
      </w:r>
    </w:p>
    <w:p>
      <w:r>
        <w:t>[15] Robinson WS. Ecological correlations and the behavior of individuals. Am Sociol Rev. 1950;15(3):351–357.</w:t>
      </w:r>
    </w:p>
    <w:p>
      <w:r>
        <w:t>[16] Charig CR, Webb DR, Payne SR, Wickham JE. Comparison of treatment of renal calculi by open surgery, percutaneous nephrolithotomy, and extracorporeal shockwave lithotripsy. BMJ. 1986;292(6521):879–882.</w:t>
      </w:r>
    </w:p>
    <w:p>
      <w:r>
        <w:t>[17] Bickel PJ, Hammel EA, O'Connell JW. Sex bias in graduate admissions: data from Berkeley. Science. 1975;187(4175):398–404.</w:t>
      </w:r>
    </w:p>
    <w:p>
      <w:r>
        <w:t>[18] von Kügelgen J, Gresele L, Schölkopf B. Simpson's paradox in Covid-19 case fatality rates: a mediation analysis of age-related causal effects. IEEE Trans Artif Intell. 2021;2(1):18–27.</w:t>
      </w:r>
    </w:p>
    <w:p>
      <w:r>
        <w:t>[19] Morris JS. Israeli data: how can efficacy vs. severe disease be strong when 60% of hospitalized are vaccinated? 2021. Available from: https://www.covid-datascience.com/post/israeli-data-how-can-efficacy-vs-severe-disease-be-strong-when-60-of-hospitalized-are-vaccinated</w:t>
      </w:r>
    </w:p>
    <w:p>
      <w:r>
        <w:t>[20] Appleton DR, French NR, Vanderpump MP. Ignoring a covariate: an example of Simpson's paradox. Am Stat. 1996;50(4):340–341.</w:t>
      </w:r>
    </w:p>
    <w:p>
      <w:r>
        <w:t>[21] Rosenbaum PR, Rubin DB. The central role of the propensity score in observational studies for causal effects. Biometrika. 1983;70(1):41–55.</w:t>
      </w:r>
    </w:p>
    <w:p>
      <w:r>
        <w:t>[22] Hansen BB. The prognostic analogue of the propensity score. Biometrika. 2008;95(2):481–488.</w:t>
      </w:r>
    </w:p>
    <w:p>
      <w:r>
        <w:t>[23] Miettinen OS. Stratification by a multivariate confounder score. Am J Epidemiol. 1976;104(6):609–620.</w:t>
      </w:r>
    </w:p>
    <w:p>
      <w:r>
        <w:t>[24] Angrist JD, Imbens GW, Rubin DB. Identification of causal effects using instrumental variables. J Am Stat Assoc. 1996;91(434):444–455.</w:t>
      </w:r>
    </w:p>
    <w:p>
      <w:r>
        <w:t>[25] Schneeweiss S, Rassen JA, Glynn RJ, Avorn J, Mogun H, Brookhart MA. High-dimensional propensity score adjustment in studies of treatment effects using health care claims data. Epidemiology. 2009;20(4):512–522.</w:t>
      </w:r>
    </w:p>
    <w:p>
      <w:r>
        <w:t>[26] Rassen JA, Schneeweiss S. Using high-dimensional propensity scores to automate confounding control in a distributed medical product safety surveillance system. Pharmacoepidemiol Drug Saf. 2012;21(S1):41–49.</w:t>
      </w:r>
    </w:p>
    <w:p>
      <w:r>
        <w:t>[27] Wyss R, Schneeweiss S, van der Laan M, Lendle SD, Ju C, Franklin JM. Machine learning for improving high-dimensional proxy confounder adjustment in healthcare database studies. Stat Med. 2018;37(8):1310–1324.</w:t>
      </w:r>
    </w:p>
    <w:p>
      <w:r>
        <w:t>[28] Tchetgen Tchetgen EJ, Ying A, Cui Y, Shi X, Miao W. An introduction to proximal causal inference. Stat Sci. 2024;39(3):375–390.</w:t>
      </w:r>
    </w:p>
    <w:p>
      <w:r>
        <w:t>[29] McLachlan GJ, Peel D. Finite Mixture Models. New York: Wiley; 2000.</w:t>
      </w:r>
    </w:p>
    <w:p>
      <w:r>
        <w:t>[30] Hayes-Larson E, Kezios KL, Mooney SJ, Lovasi G. Who is in this study, anyway? Guidelines for a useful Table 1. J Clin Epidemiol. 2019;114:125–132.</w:t>
      </w:r>
    </w:p>
    <w:p>
      <w:r>
        <w:t>[31] Morris TP, White IR, Crowther MJ. Using simulation studies to evaluate statistical methods. Stat Med. 2019;38(11):2074–2102.</w:t>
      </w:r>
    </w:p>
    <w:p>
      <w:r>
        <w:t>[32]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