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IONE: Incoherence-Oriented Neutralisation and Extraction for hidden effect modification in individual participant data meta-analysis: a simulation study of stratification-based extraction</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when hidden effect modifiers are ignored. We propose Incoherence-Oriented Neutralisation and Extraction (IONE), an exploratory diagnostic for hidden effect modification.</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w:t>
      </w:r>
    </w:p>
    <w:p>
      <w:pPr>
        <w:spacing w:line="480" w:lineRule="auto"/>
      </w:pPr>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Sensitivity analyses showed that bias reduction depends most on sample size and effect-modification strength, and the diagnostics remained informative under non-linear covariate mappings.</w:t>
      </w:r>
    </w:p>
    <w:p>
      <w:pPr>
        <w:spacing w:line="480" w:lineRule="auto"/>
      </w:pPr>
      <w:r/>
      <w:r>
        <w:rPr>
          <w:b/>
        </w:rPr>
        <w:t>Conclusions:</w:t>
      </w:r>
      <w:r>
        <w:t xml:space="preserve"> IONE is a transparent diagnostic for hidden effect modification in IPD meta-analyses, to be reported alongside conventional models and covariate adjustment.</w:t>
      </w:r>
    </w:p>
    <w:p>
      <w:pPr>
        <w:spacing w:line="480" w:lineRule="auto"/>
      </w:pPr>
      <w:r/>
      <w:r>
        <w:rPr>
          <w:b/>
        </w:rPr>
        <w:t>Keywords:</w:t>
      </w:r>
      <w:r>
        <w:t xml:space="preserve"> individual participant data meta-analysis; evidence synthesis; heterogeneity; hidden effect modification; stratification</w:t>
      </w:r>
    </w:p>
    <w:p>
      <w:pPr>
        <w:spacing w:line="480" w:lineRule="auto"/>
      </w:pPr>
      <w:r>
        <w:br w:type="page"/>
      </w:r>
    </w:p>
    <w:p>
      <w:pPr>
        <w:pStyle w:val="Heading1"/>
        <w:spacing w:line="480" w:lineRule="auto"/>
      </w:pPr>
      <w:r>
        <w:t>1. Introduction</w:t>
      </w:r>
    </w:p>
    <w:p>
      <w:pPr>
        <w:spacing w:line="480" w:lineRule="auto"/>
      </w:pPr>
      <w:r>
        <w:t>Meta-analysis combines treatment-effect estimates from related studies and is central to evidence-based medicine and policy [1]. In an individual participant data (IPD) meta-analysis, the original participant-level data are collected and re-analysed, which preserves covariate and subgroup information and can improve power for treatment-covariate interactions [2][3]. A random-effects analysis is widely recommended when between-study heterogeneity is suspected [4][5][6].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[7][8].</w:t>
      </w:r>
    </w:p>
    <w:p>
      <w:pPr>
        <w:spacing w:line="480" w:lineRule="auto"/>
      </w:pPr>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 The term "neutralisation" refers to reducing the misleading influence of a marginal summary that conflates heterogeneous subgroups, by extracting coherent subpopulations for separate analysis.</w:t>
      </w:r>
    </w:p>
    <w:p>
      <w:pPr>
        <w:spacing w:line="480" w:lineRule="auto"/>
      </w:pPr>
      <w:r>
        <w:t>Observational studies, particularly retrospective cohort studies, are indispensable for generating real-world evidence on treatment effects and risk factors when randomised controlled trials are infeasible or unethical [9][10].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[11]; Simpson's paradox, where the direction of an association observed in the aggregate reverses within subgroups [12][13]; undetected effect modification, where treatment effects genuinely differ across subpopulations but are reported as a single "average" effect that may not apply to any individual subgroup [14]; the ecological fallacy, where aggregate-level associations are inappropriately generalised to individuals [15]; and non-collapsibility, a mathematical property by which non-linear effect measures such as the odds ratio yield marginal estimates that differ from conditional estimates even in the absence of confounding [8].</w:t>
      </w:r>
    </w:p>
    <w:p>
      <w:pPr>
        <w:spacing w:line="480" w:lineRule="auto"/>
      </w:pPr>
      <w:r>
        <w:t xml:space="preserve">These biases are not merely theoretical concerns. Simpson's paradox has been documented in landmark studies across medicine and social science: kidney stone treatment comparisons where the inferior treatment appeared superior in aggregate [16], university admissions data where apparent gender discrimination reversed at the departmental level [17], COVID-19 case fatality rate comparisons that were confounded by national differences in age distributions [18], vaccine effectiveness evaluations that appeared to show vaccine failure due to age-related confounding [19], and smoking–mortality studies where smokers appeared to have lower mortality due to confounding by age [20].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[12][13].</w:t>
      </w:r>
    </w:p>
    <w:p>
      <w:pPr>
        <w:spacing w:line="480" w:lineRule="auto"/>
      </w:pPr>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[21]. The prognostic score predicts the outcome under no treatment and provides an alternative basis for stratification [22][23]. The disease risk score (DRS) constructs an outcome prediction model using untreated subjects only [23]. Instrumental variable methods exploit variables that affect treatment but not the outcome directly [24]. More recently, the high-dimensional propensity score (hdPS) algorithm automatically extracts thousands of candidate proxy variables from claims data to approximate unmeasured confounding [25][26].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[25][27].</w:t>
      </w:r>
    </w:p>
    <w:p>
      <w:pPr>
        <w:spacing w:line="480" w:lineRule="auto"/>
      </w:pPr>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[25]. Proximal causal inference formalises the use of proxy variables for identification of causal effects in the presence of unmeasured confounding [28]. Latent class analysis and finite mixture models seek to identify unobserved subgroups from patterns in observed variables [29].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a conventional baseline characteristics table providing only descriptive summaries that cannot formally test for hidden subgroup structure [30].</w:t>
      </w:r>
    </w:p>
    <w:p>
      <w:pPr>
        <w:spacing w:line="480" w:lineRule="auto"/>
      </w:pPr>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pPr>
        <w:spacing w:line="480" w:lineRule="auto"/>
      </w:pPr>
      <w:r>
        <w:t xml:space="preserve">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w:t>
      </w:r>
      <m:oMath>
        <m:sSup>
          <m:e>
            <m:r>
              <m:t xml:space="preserve">I</m:t>
            </m:r>
          </m:e>
          <m:sup>
            <m:r>
              <m:t xml:space="preserve">2</m:t>
            </m:r>
          </m:sup>
        </m:sSup>
      </m:oMath>
      <w:r>
        <w:t xml:space="preserve"> heterogeneity statistic [5] applied to stratum-specific log odds ratios, and W, the proportion of total conditional average treatment effect (CATE) variance explained by the stratification.</w:t>
      </w:r>
    </w:p>
    <w:p>
      <w:pPr>
        <w:pStyle w:val="Heading1"/>
        <w:spacing w:line="480" w:lineRule="auto"/>
      </w:pPr>
      <w:r>
        <w:t>2. Methods</w:t>
      </w:r>
    </w:p>
    <w:p>
      <w:pPr>
        <w:spacing w:line="480" w:lineRule="auto"/>
      </w:pPr>
      <w:r>
        <w:t>This simulation study is reported following the ADEMP framework (Aims, Data-generating mechanisms, Estimands, Methods, Performance measures) as recommended by Morris, White, and Crowther [31]. All analyses were conducted in Python 3.11.</w:t>
      </w:r>
    </w:p>
    <w:p>
      <w:pPr>
        <w:pStyle w:val="Heading2"/>
        <w:spacing w:line="480" w:lineRule="auto"/>
      </w:pPr>
      <w:r>
        <w:t>Aims</w:t>
      </w:r>
    </w:p>
    <w:p>
      <w:pPr>
        <w:spacing w:line="480" w:lineRule="auto"/>
      </w:pPr>
      <w:r>
        <w:t>The aims of the simulation study were:</w:t>
      </w:r>
    </w:p>
    <w:p>
      <w:pPr>
        <w:pStyle w:val="ListNumber"/>
        <w:spacing w:line="480" w:lineRule="auto"/>
      </w:pPr>
      <w:r>
        <w:t>To evaluate whether stratification of a pooled IPD based solely on measured covariates can recover hidden subgroup structure defined by unmeasured effect modifiers or confounders.</w:t>
      </w:r>
    </w:p>
    <w:p>
      <w:pPr>
        <w:pStyle w:val="ListNumber"/>
        <w:spacing w:line="480" w:lineRule="auto"/>
      </w:pPr>
      <w:r>
        <w:t>To compare the performance of outcome-informed IONE methods with outcome-free methods and with established comparators (propensity-score quintiles, Gaussian mixture model, prognostic-score stratification).</w:t>
      </w:r>
    </w:p>
    <w:p>
      <w:pPr>
        <w:pStyle w:val="ListNumber"/>
        <w:spacing w:line="480" w:lineRule="auto"/>
      </w:pPr>
      <w:r>
        <w:t>To assess the ability of C1 (between-stratum heterogeneity) and W (within-stratum CATE homogeneity) to diagnose hidden effect modification.</w:t>
      </w:r>
    </w:p>
    <w:p>
      <w:pPr>
        <w:pStyle w:val="ListNumber"/>
        <w:spacing w:line="480" w:lineRule="auto"/>
      </w:pPr>
      <w:r>
        <w:t>To quantify ATE bias reduction achieved by two-stage fixed-effect and DerSimonian-Laird random-effects synthesis of stratum-specific risk differences.</w:t>
      </w:r>
    </w:p>
    <w:p>
      <w:pPr>
        <w:pStyle w:val="ListNumber"/>
        <w:spacing w:line="480" w:lineRule="auto"/>
      </w:pPr>
      <w:r>
        <w:t>To identify the data-generating conditions under which the proposed diagnostics are most and least informative.</w:t>
      </w:r>
    </w:p>
    <w:p>
      <w:pPr>
        <w:pStyle w:val="Heading2"/>
        <w:spacing w:line="480" w:lineRule="auto"/>
      </w:pPr>
      <w:r>
        <w:t>IPD data-generating mechanism</w:t>
      </w:r>
    </w:p>
    <w:p>
      <w:pPr>
        <w:pStyle w:val="Heading3"/>
        <w:spacing w:line="480" w:lineRule="auto"/>
      </w:pPr>
      <w:r>
        <w:t>Causal structure</w:t>
      </w:r>
    </w:p>
    <w:p>
      <w:pPr>
        <w:spacing w:line="480" w:lineRule="auto"/>
      </w:pPr>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[4].</w:t>
      </w:r>
    </w:p>
    <w:p>
      <w:pPr>
        <w:spacing w:line="480" w:lineRule="auto"/>
      </w:pPr>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pPr>
        <w:spacing w:line="480" w:lineRule="auto"/>
      </w:pPr>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spacing w:line="480" w:lineRule="auto"/>
      </w:pPr>
      <w:r>
        <w:t>Scenarios</w:t>
      </w:r>
    </w:p>
    <w:p>
      <w:pPr>
        <w:spacing w:line="480" w:lineRule="auto"/>
      </w:pPr>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w:t>
      </w:r>
    </w:p>
    <w:p>
      <w:pPr>
        <w:spacing w:line="480" w:lineRule="auto"/>
      </w:pPr>
      <w:r>
        <w:t>We additionally examined four robustness scenarios. First, sample-size sensitivity was evaluated with n=500, 2000 and 10000, fixing K=5 and the same moderate Z-to-X and Z-to-Y effects. Second, we varied the strength of the Z-to-Y effect (effect scale = 0.5, 1.0 and 2.0) while holding sample size, strata count and Z-to-X influence constant. Third, we varied the strength of the Z-to-X influence (influence scale = 0.2, 0.5 and 1.0), which governs how much information about the hidden modifiers is carried by the measured covariates. Finally, we introduced a non-linear Z-to-X mapping in which the continuous component was transformed by a quadratic term and a log-normal scale transformation; this tests whether methods that rely on linear Y-on-X or X-space relationships remain effective when covariates encode the hidden structure non-linearly. The primary and strata-sensitivity scenarios used 50 replications; the extended robustness scenarios used 10 replications to keep computational cost manageable.</w:t>
      </w:r>
    </w:p>
    <w:p>
      <w:pPr>
        <w:pStyle w:val="Heading2"/>
        <w:spacing w:line="480" w:lineRule="auto"/>
      </w:pPr>
      <w:r>
        <w:t>Stratification methods</w:t>
      </w:r>
    </w:p>
    <w:p>
      <w:pPr>
        <w:spacing w:line="480" w:lineRule="auto"/>
      </w:pPr>
      <w:r>
        <w:t>Proposed IONE methods were divided into two families. Family 1 (outcome-informed) used the relationship between measured covariates and the outcome; Family 2 (outcome-free) used multivariate patterns in the covariate space alone.</w:t>
      </w:r>
    </w:p>
    <w:p>
      <w:pPr>
        <w:pStyle w:val="Heading3"/>
        <w:spacing w:line="480" w:lineRule="auto"/>
      </w:pPr>
      <w:r>
        <w:t>Family 1: Decision power-based methods (outcome-informed)</w:t>
      </w:r>
    </w:p>
    <w:p>
      <w:pPr>
        <w:spacing w:line="480" w:lineRule="auto"/>
      </w:pPr>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spacing w:line="480" w:lineRule="auto"/>
      </w:pPr>
      <w:r/>
      <w:r>
        <w:rPr>
          <w:b/>
        </w:rPr>
        <w:t>Method 1A (Predicted probability):</w:t>
      </w:r>
      <w:r>
        <w:t xml:space="preserve"> A logistic regression model predicting Y from X1-X10 is fitted. Observations are stratified by equal-frequency quantiles of the predicted probability </w:t>
      </w:r>
      <m:oMath>
        <m:acc>
          <m:accPr>
            <m:chr m:val="^"/>
          </m:accPr>
          <m:e>
            <m:r>
              <m:t xml:space="preserve">p</m:t>
            </m:r>
          </m:e>
        </m:acc>
      </m:oMath>
      <w:r>
        <w:t xml:space="preserve">. This is analogous to a prognostic score [22] estimated without access to the critical variables.</w:t>
      </w:r>
    </w:p>
    <w:p>
      <w:pPr>
        <w:pStyle w:val="ListBullet"/>
        <w:spacing w:line="480" w:lineRule="auto"/>
      </w:pPr>
      <w:r/>
      <w:r>
        <w:rPr>
          <w:b/>
        </w:rPr>
        <w:t>Method 1B (Residual):</w:t>
      </w:r>
      <w:r>
        <w:t xml:space="preserve"> From the same logistic regression, the absolute residual </w:t>
      </w:r>
      <m:oMath>
        <m:r>
          <m:t xml:space="preserve">|Y - </m:t>
        </m:r>
        <m:acc>
          <m:accPr>
            <m:chr m:val="^"/>
          </m:accPr>
          <m:e>
            <m:r>
              <m:t xml:space="preserve">p</m:t>
            </m:r>
          </m:e>
        </m:acc>
        <m:r>
          <m:t xml:space="preserve">|</m:t>
        </m:r>
      </m:oMath>
      <w:r>
        <w:t xml:space="preserve"> is computed for each observation. Observations are stratified by quantiles of </w:t>
      </w:r>
      <m:oMath>
        <m:r>
          <m:t xml:space="preserve">|Y - </m:t>
        </m:r>
        <m:acc>
          <m:accPr>
            <m:chr m:val="^"/>
          </m:accPr>
          <m:e>
            <m:r>
              <m:t xml:space="preserve">p</m:t>
            </m:r>
          </m:e>
        </m:acc>
        <m:r>
          <m:t xml:space="preserve">|</m:t>
        </m:r>
      </m:oMath>
      <w:r>
        <w:t xml:space="preserve">. The rationale is that large residuals indicate observations whose outcome is poorly explained by measured covariates, suggesting a strong influence of unmeasured Z.</w:t>
      </w:r>
    </w:p>
    <w:p>
      <w:pPr>
        <w:pStyle w:val="ListBullet"/>
        <w:spacing w:line="480" w:lineRule="auto"/>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spacing w:line="480" w:lineRule="auto"/>
      </w:pPr>
      <w:r>
        <w:t>Family 2: Feature score-based methods (outcome-free)</w:t>
      </w:r>
    </w:p>
    <w:p>
      <w:pPr>
        <w:spacing w:line="480" w:lineRule="auto"/>
      </w:pPr>
      <w:r>
        <w:t>These methods operate solely in the covariate space of X, without reference to Y.</w:t>
      </w:r>
    </w:p>
    <w:p>
      <w:pPr>
        <w:pStyle w:val="ListBullet"/>
        <w:spacing w:line="480" w:lineRule="auto"/>
      </w:pPr>
      <w:r/>
      <w:r>
        <w:rPr>
          <w:b/>
        </w:rPr>
        <w:t>Method 2A (PCA):</w:t>
      </w:r>
      <w:r>
        <w:t xml:space="preserve"> Principal component analysis is applied to the standardised X1-X10. The first principal component score (PC1) is used to stratify observations by equal-frequency quantiles.</w:t>
      </w:r>
    </w:p>
    <w:p>
      <w:pPr>
        <w:pStyle w:val="ListBullet"/>
        <w:spacing w:line="480" w:lineRule="auto"/>
      </w:pPr>
      <w:r/>
      <w:r>
        <w:rPr>
          <w:b/>
        </w:rPr>
        <w:t>Method 2B (Clustering):</w:t>
      </w:r>
      <w:r>
        <w:t xml:space="preserve"> K-means clustering is applied to the standardised X1-X10 with the number of clusters set to K. Cluster assignments define the strata directly.</w:t>
      </w:r>
    </w:p>
    <w:p>
      <w:pPr>
        <w:pStyle w:val="Heading3"/>
        <w:spacing w:line="480" w:lineRule="auto"/>
      </w:pPr>
      <w:r>
        <w:t>Active comparators and baselines</w:t>
      </w:r>
    </w:p>
    <w:p>
      <w:pPr>
        <w:pStyle w:val="ListBullet"/>
        <w:spacing w:line="480" w:lineRule="auto"/>
      </w:pPr>
      <w:r/>
      <w:r>
        <w:rPr>
          <w:b/>
        </w:rPr>
        <w:t>Propensity score (PS) quintiles:</w:t>
      </w:r>
      <w:r>
        <w:t xml:space="preserve"> The conditional probability of treatment A=1 given X is estimated by logistic regression, and subjects are stratified by quintiles of the estimated propensity score [21].</w:t>
      </w:r>
    </w:p>
    <w:p>
      <w:pPr>
        <w:pStyle w:val="ListBullet"/>
        <w:spacing w:line="480" w:lineRule="auto"/>
      </w:pPr>
      <w:r/>
      <w:r>
        <w:rPr>
          <w:b/>
        </w:rPr>
        <w:t>Gaussian mixture model (GMM):</w:t>
      </w:r>
      <w:r>
        <w:t xml:space="preserve"> A GMM with K components is fitted to the standardised X variables, and the posterior component assignment is used as the stratum label [29].</w:t>
      </w:r>
    </w:p>
    <w:p>
      <w:pPr>
        <w:pStyle w:val="ListBullet"/>
        <w:spacing w:line="480" w:lineRule="auto"/>
      </w:pPr>
      <w:r/>
      <w:r>
        <w:rPr>
          <w:b/>
        </w:rPr>
        <w:t>Prognostic score stratification:</w:t>
      </w:r>
      <w:r>
        <w:t xml:space="preserve"> A logistic regression of Y on X is fitted using only the untreated (A=0) participants, predicted values are computed for all participants, and equal-frequency quantiles define the strata [22].</w:t>
      </w:r>
    </w:p>
    <w:p>
      <w:pPr>
        <w:pStyle w:val="ListBullet"/>
        <w:spacing w:line="480" w:lineRule="auto"/>
      </w:pPr>
      <w:r/>
      <w:r>
        <w:rPr>
          <w:b/>
        </w:rPr>
        <w:t>Oracle baselines:</w:t>
      </w:r>
      <w:r>
        <w:t xml:space="preserve"> K-means or quantiles on the standardised true Z-space provide an upper-bound reference for what could be achieved if the hidden variables were directly observed.</w:t>
      </w:r>
    </w:p>
    <w:p>
      <w:pPr>
        <w:pStyle w:val="ListBullet"/>
        <w:spacing w:line="480" w:lineRule="auto"/>
      </w:pPr>
      <w:r/>
      <w:r>
        <w:rPr>
          <w:b/>
        </w:rPr>
        <w:t>Random:</w:t>
      </w:r>
      <w:r>
        <w:t xml:space="preserve"> Observations are randomly assigned to K strata of equal size, providing a chance-level reference.</w:t>
      </w:r>
    </w:p>
    <w:p>
      <w:pPr>
        <w:spacing w:line="480" w:lineRule="auto"/>
      </w:pPr>
      <w:r>
        <w:t xml:space="preserve">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t>
      </w:r>
      <m:oMath>
        <m:sSub>
          <m:e>
            <m:r>
              <m:t xml:space="preserve">W</m:t>
            </m:r>
          </m:e>
          <m:sub>
            <m:r>
              <m:t xml:space="preserve">est</m:t>
            </m:r>
          </m:sub>
        </m:sSub>
      </m:oMath>
      <w:r>
        <w:t xml:space="preserve">. Outcome-free methods used the full sample for both assignment and estimation.</w:t>
      </w:r>
    </w:p>
    <w:p>
      <w:pPr>
        <w:pStyle w:val="Heading2"/>
        <w:spacing w:line="480" w:lineRule="auto"/>
      </w:pPr>
      <w:r>
        <w:t>Synthesis of stratum-specific effects</w:t>
      </w:r>
    </w:p>
    <w:p>
      <w:pPr>
        <w:spacing w:line="480" w:lineRule="auto"/>
      </w:pPr>
      <w:r>
        <w:t xml:space="preserve">For each discovered stratum we computed the risk difference </w:t>
      </w:r>
      <m:oMath>
        <m:r>
          <m:t xml:space="preserve">P(Y=1|A=1) - P(Y=1|A=0)</m:t>
        </m:r>
      </m:oMath>
      <w:r>
        <w:t xml:space="preserve"> and its standard error. A two-stage fixed-effect summary was the stratum-size-weighted average of these risk differences. A DerSimonian-Laird random-effects summary added an estimate of between-stratum variance and re-weighted stratum estimates accordingly [4]. We also report the resulting </w:t>
      </w:r>
      <m:oMath>
        <m:sSup>
          <m:e>
            <m:r>
              <m:t xml:space="preserve">τ</m:t>
            </m:r>
          </m:e>
          <m:sup>
            <m:r>
              <m:t xml:space="preserve">2</m:t>
            </m:r>
          </m:sup>
        </m:sSup>
      </m:oMath>
      <w:r>
        <w:t xml:space="preserve"> and </w:t>
      </w:r>
      <m:oMath>
        <m:sSup>
          <m:e>
            <m:r>
              <m:t xml:space="preserve">I</m:t>
            </m:r>
          </m:e>
          <m:sup>
            <m:r>
              <m:t xml:space="preserve">2</m:t>
            </m:r>
          </m:sup>
        </m:sSup>
      </m:oMath>
      <w:r>
        <w:t xml:space="preserve"> as summaries of between-stratum heterogeneity on the risk-difference scale. The random-effects synthesis treats discovered strata as studies in a conventional meta-analysis, allowing the stratum-specific effects to vary. "Neutralisation" in IONE denotes reducing the misleading influence of a marginal summary that conflates heterogeneous subgroups, by extracting coherent subpopulations for separate analysis. Two caveats apply here. First, because the strata are discovered from the same data, the stratum-specific estimates are not independent study-level estimates; DerSimonian-Laird is used as a convenient synthesis that borrows strength across strata and should not be interpreted as a conventional between-study random-effects model. Second, C1 is computed from stratum-specific log odds ratios while the ATE bias is on the risk-difference scale, so C1 is an indirect diagnostic of hidden effect modification rather than a direct measure of ATE bias.</w:t>
      </w:r>
    </w:p>
    <w:p>
      <w:pPr>
        <w:pStyle w:val="Heading2"/>
        <w:spacing w:line="480" w:lineRule="auto"/>
      </w:pPr>
      <w:r>
        <w:t>Evaluation metrics</w:t>
      </w:r>
    </w:p>
    <w:p>
      <w:pPr>
        <w:spacing w:line="480" w:lineRule="auto"/>
      </w:pPr>
      <w:r>
        <w:t>For each method we report:</w:t>
      </w:r>
    </w:p>
    <w:p>
      <w:pPr>
        <w:pStyle w:val="ListBullet"/>
        <w:spacing w:line="480" w:lineRule="auto"/>
      </w:pPr>
      <w:r/>
      <w:r>
        <w:rPr>
          <w:b/>
        </w:rPr>
        <w:t>Adjusted Rand Index (ARI)</w:t>
      </w:r>
      <w:r>
        <w:t xml:space="preserve"> [32]: agreement between estimated strata and a constructed true-Z partition, corrected for chance. Range [-1, 1]; 1 = perfect agreement; 0 = chance level.</w:t>
      </w:r>
    </w:p>
    <w:p>
      <w:pPr>
        <w:pStyle w:val="ListBullet"/>
        <w:spacing w:line="480" w:lineRule="auto"/>
      </w:pPr>
      <m:oMath>
        <m:r>
          <m:t xml:space="preserve">C1 = 1 - </m:t>
        </m:r>
        <m:sSup>
          <m:e>
            <m:r>
              <m:t xml:space="preserve">I</m:t>
            </m:r>
          </m:e>
          <m:sup>
            <m:r>
              <m:t xml:space="preserve">2</m:t>
            </m:r>
          </m:sup>
        </m:sSup>
      </m:oMath>
      <w:r>
        <w:t xml:space="preserve">, where </w:t>
      </w:r>
      <m:oMath>
        <m:sSup>
          <m:e>
            <m:r>
              <m:t xml:space="preserve">I</m:t>
            </m:r>
          </m:e>
          <m:sup>
            <m:r>
              <m:t xml:space="preserve">2</m:t>
            </m:r>
          </m:sup>
        </m:sSup>
      </m:oMath>
      <w:r>
        <w:t xml:space="preserve"> is the heterogeneity statistic [5] applied to stratum-specific log odds ratios of A on Y. Lower C1 indicates stronger between-stratum heterogeneity (an incoherent pooled population); higher C1 indicates more homogeneous effects (coherent strata).</w:t>
      </w:r>
    </w:p>
    <w:p>
      <w:pPr>
        <w:pStyle w:val="ListBullet"/>
        <w:spacing w:line="480" w:lineRule="auto"/>
      </w:pPr>
      <m:oMath>
        <m:sSub>
          <m:e>
            <m:r>
              <m:t xml:space="preserve">W</m:t>
            </m:r>
          </m:e>
          <m:sub>
            <m:r>
              <m:t xml:space="preserve">true</m:t>
            </m:r>
          </m:sub>
        </m:sSub>
      </m:oMath>
      <w:r>
        <w:t xml:space="preserve"> and </w:t>
      </w:r>
      <m:oMath>
        <m:sSub>
          <m:e>
            <m:r>
              <m:t xml:space="preserve">W</m:t>
            </m:r>
          </m:e>
          <m:sub>
            <m:r>
              <m:t xml:space="preserve">est</m:t>
            </m:r>
          </m:sub>
        </m:sSub>
      </m:oMath>
      <w:r>
        <w:t xml:space="preserve">: the proportion of total CATE variance explained by the stratification, computed using either the true individual CATE (simulation-only) or an estimated CATE from a flexible </w:t>
      </w:r>
      <m:oMath>
        <m:r>
          <m:t xml:space="preserve">Y ~ X + A + X×A</m:t>
        </m:r>
      </m:oMath>
      <w:r>
        <w:t xml:space="preserve"> logistic model (operational diagnostic).</w:t>
      </w:r>
    </w:p>
    <w:p>
      <w:pPr>
        <w:pStyle w:val="ListBullet"/>
        <w:spacing w:line="480" w:lineRule="auto"/>
      </w:pPr>
      <w:r/>
      <w:r>
        <w:rPr>
          <w:b/>
        </w:rPr>
        <w:t>ATE bias reduction</w:t>
      </w:r>
      <w:r>
        <w:t xml:space="preserve"> on the risk-difference scale, reported as the absolute difference </w:t>
      </w:r>
      <m:oMath>
        <m:r>
          <m:t xml:space="preserve">|bias_crude| - |bias_stratified|</m:t>
        </m:r>
      </m:oMath>
      <w:r>
        <w:t xml:space="preserve"> and </w:t>
      </w:r>
      <m:oMath>
        <m:r>
          <m:t xml:space="preserve">|bias_crude| - |bias_re|</m:t>
        </m:r>
      </m:oMath>
      <w:r>
        <w:t xml:space="preserve">, and as the relative ratio </w:t>
      </w:r>
      <m:oMath>
        <m:r>
          <m:t xml:space="preserve">1 - </m:t>
        </m:r>
        <m:f>
          <m:num>
            <m:r>
              <m:t xml:space="preserve">|bias_stratified|</m:t>
            </m:r>
          </m:num>
          <m:den>
            <m:r>
              <m:t xml:space="preserve">|bias_crude|</m:t>
            </m:r>
          </m:den>
        </m:f>
      </m:oMath>
      <w:r>
        <w:t xml:space="preserve">.</w:t>
      </w:r>
    </w:p>
    <w:p>
      <w:pPr>
        <w:pStyle w:val="ListBullet"/>
        <w:spacing w:line="480" w:lineRule="auto"/>
      </w:pPr>
      <w:r>
        <w:t>Monte Carlo standard errors and 95% confidence intervals for every mean.</w:t>
      </w:r>
    </w:p>
    <w:p>
      <w:pPr>
        <w:spacing w:line="480" w:lineRule="auto"/>
      </w:pPr>
      <w:r>
        <w:t xml:space="preserve">The true-Z partition is an operational construct: k-means clustering applied to the standardised Z-space with K equal to the number of strata. ARI therefore measures agreement with a constructed reference rather than with clinically observed subgroups. </w:t>
      </w:r>
      <m:oMath>
        <m:sSub>
          <m:e>
            <m:r>
              <m:t xml:space="preserve">W</m:t>
            </m:r>
          </m:e>
          <m:sub>
            <m:r>
              <m:t xml:space="preserve">true</m:t>
            </m:r>
          </m:sub>
        </m:sSub>
      </m:oMath>
      <w:r>
        <w:t xml:space="preserve"> is available only in simulation; </w:t>
      </w:r>
      <m:oMath>
        <m:sSub>
          <m:e>
            <m:r>
              <m:t xml:space="preserve">W</m:t>
            </m:r>
          </m:e>
          <m:sub>
            <m:r>
              <m:t xml:space="preserve">est</m:t>
            </m:r>
          </m:sub>
        </m:sSub>
      </m:oMath>
      <w:r>
        <w:t xml:space="preserve"> is the operational diagnostic that can be computed in real data, although it requires a correctly specified outcome model and should be interpreted cautiously. C1 is derived from log odds ratio heterogeneity and is reported alongside risk-difference bias reduction; the two metrics operate on different scales, so a low C1 signals incoherence but does not by itself quantify ATE bias.</w:t>
      </w:r>
    </w:p>
    <w:p>
      <w:pPr>
        <w:pStyle w:val="Heading2"/>
        <w:spacing w:line="480" w:lineRule="auto"/>
      </w:pPr>
      <w:r>
        <w:t>Semi-synthetic illustrations</w:t>
      </w:r>
    </w:p>
    <w:p>
      <w:pPr>
        <w:spacing w:line="480" w:lineRule="auto"/>
      </w:pPr>
      <w:r>
        <w:t>Five well-known Simpson-paradox examples were reconstructed as pseudo-individual records from published aggregate statistics: kidney stone treatments [16], UC Berkeley admissions [17], COVID-19 case fatality rates [18], Israeli vaccine effectiveness [19], and smoking-mortality [20]. For each example, pseudo-general variables were generated to mimic proxies of the known confounder, and the same IONE methods were applied. The candidate numbers of strata were selected a priori, before any method was run, as the sorted unique values of the set {2, 3, min(K_true, 4), K_true}, where K_true is the number of categories of the known confounder in the published example. Because the candidate set is fixed before the analysis, it avoids post hoc selection and the reported K for each dataset is the value that maximised ARI within this prespecified set. The Morris [19] example is a publicly available aggregate data analysis and has not been peer-reviewed. These examples illustrate favourable and unfavourable settings for stratification; they are not validation of out-of-the-box performance in real IPD.</w:t>
      </w:r>
    </w:p>
    <w:p>
      <w:pPr>
        <w:pStyle w:val="Heading2"/>
        <w:spacing w:line="480" w:lineRule="auto"/>
      </w:pPr>
      <w:r>
        <w:t>Reporting and reproducibility standards</w:t>
      </w:r>
    </w:p>
    <w:p>
      <w:pPr>
        <w:spacing w:line="480" w:lineRule="auto"/>
      </w:pPr>
      <w:r>
        <w:t>The design, conduct and reporting of the simulation study followed the ADEMP framework (Aims, Data-generating mechanisms, Estimands, Methods, Performance measures) as recommended by Morris, White and Crowther [31].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spacing w:line="480" w:lineRule="auto"/>
      </w:pPr>
      <w:r>
        <w:t>Computational implementation</w:t>
      </w:r>
    </w:p>
    <w:p>
      <w:pPr>
        <w:spacing w:line="480" w:lineRule="auto"/>
      </w:pPr>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spacing w:line="480" w:lineRule="auto"/>
      </w:pPr>
      <w:r>
        <w:t>3. Results</w:t>
      </w:r>
    </w:p>
    <w:p>
      <w:pPr>
        <w:pStyle w:val="Heading2"/>
        <w:spacing w:line="480" w:lineRule="auto"/>
      </w:pPr>
      <w:r>
        <w:t>Primary IPD scenario</w:t>
      </w:r>
    </w:p>
    <w:p>
      <w:pPr>
        <w:spacing w:line="480" w:lineRule="auto"/>
      </w:pPr>
      <w:r>
        <w:t xml:space="preserve">Table 1 summarises the primary IPD scenario (n=2000, 10 studies, K=5 strata, 50 replications). Extraction of the true hidden structure was modest. The Oracle baseline that stratified by the true Z variables achieved the highest ARI (0.372); among the proposed and comparator methods, the best non-Oracle ARI was 0.032 (1B_residual). The average C1 across methods was 0.889, and average within-stratum homogeneity was limited (mean </w:t>
      </w:r>
      <m:oMath>
        <m:sSub>
          <m:e>
            <m:r>
              <m:t xml:space="preserve">W</m:t>
            </m:r>
          </m:e>
          <m:sub>
            <m:r>
              <m:t xml:space="preserve">true</m:t>
            </m:r>
          </m:sub>
        </m:sSub>
      </m:oMath>
      <w:r>
        <w:t xml:space="preserve"> = 0.242; mean </w:t>
      </w:r>
      <m:oMath>
        <m:sSub>
          <m:e>
            <m:r>
              <m:t xml:space="preserve">W</m:t>
            </m:r>
          </m:e>
          <m:sub>
            <m:r>
              <m:t xml:space="preserve">est</m:t>
            </m:r>
          </m:sub>
        </m:sSub>
      </m:oMath>
      <w:r>
        <w:t xml:space="preserve"> = 0.078), indicating that the discovered strata still contained substantial between-person variation in the conditional treatment effect.</w:t>
      </w:r>
    </w:p>
    <w:p>
      <w:pPr>
        <w:pStyle w:val="Heading3"/>
        <w:spacing w:line="480" w:lineRule="auto"/>
      </w:pPr>
      <w:r>
        <w:t>Diagnostic agreement with the true partition</w:t>
      </w:r>
    </w:p>
    <w:p>
      <w:pPr>
        <w:spacing w:line="480" w:lineRule="auto"/>
      </w:pPr>
      <w:r>
        <w:t>Although all proposed methods and active comparators outperformed random stratification, the absolute level of recovery was low. The best non-oracle method reached an ARI of 0.032, substantially below the Oracle k-means baseline (ARI 0.372).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spacing w:line="480" w:lineRule="auto"/>
      </w:pPr>
      <w:r>
        <w:t>C1 and W as coherence diagnostics</w:t>
      </w:r>
    </w:p>
    <w:p>
      <w:pPr>
        <w:spacing w:line="480" w:lineRule="auto"/>
      </w:pPr>
      <w:r>
        <w:t xml:space="preserve">C1 behaved in the expected direction: methods that produced strata closer to the Oracle had C1 values closer to 1, whereas random stratification yielded a C1 of 0.883. However, the range of C1 values was compressed and the diagnostic does not, by itself, identify which method is most trustworthy. </w:t>
      </w:r>
      <m:oMath>
        <m:sSub>
          <m:e>
            <m:r>
              <m:t xml:space="preserve">W</m:t>
            </m:r>
          </m:e>
          <m:sub>
            <m:r>
              <m:t xml:space="preserve">true</m:t>
            </m:r>
          </m:sub>
        </m:sSub>
      </m:oMath>
      <w:r>
        <w:t xml:space="preserve"> was larger than </w:t>
      </w:r>
      <m:oMath>
        <m:sSub>
          <m:e>
            <m:r>
              <m:t xml:space="preserve">W</m:t>
            </m:r>
          </m:e>
          <m:sub>
            <m:r>
              <m:t xml:space="preserve">est</m:t>
            </m:r>
          </m:sub>
        </m:sSub>
      </m:oMath>
      <w:r>
        <w:t xml:space="preserve"> for most methods, reflecting the fact that the estimated CATE model (</w:t>
      </w:r>
      <m:oMath>
        <m:r>
          <m:t xml:space="preserve">Y ~ X + A + X×A</m:t>
        </m:r>
      </m:oMath>
      <w:r>
        <w:t xml:space="preserve">) can only capture part of the true CATE variation. </w:t>
      </w:r>
      <m:oMath>
        <m:sSub>
          <m:e>
            <m:r>
              <m:t xml:space="preserve">W</m:t>
            </m:r>
          </m:e>
          <m:sub>
            <m:r>
              <m:t xml:space="preserve">est</m:t>
            </m:r>
          </m:sub>
        </m:sSub>
      </m:oMath>
      <w:r>
        <w:t xml:space="preserve"> therefore provides a conservative, operationally available lower bound on within-stratum homogeneity.</w:t>
      </w:r>
    </w:p>
    <w:p>
      <w:pPr>
        <w:pStyle w:val="Heading3"/>
        <w:spacing w:line="480" w:lineRule="auto"/>
      </w:pPr>
      <w:r>
        <w:t>ATE bias reduction on the risk-difference scale</w:t>
      </w:r>
    </w:p>
    <w:p>
      <w:pPr>
        <w:spacing w:line="480" w:lineRule="auto"/>
      </w:pPr>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pPr>
        <w:spacing w:line="480" w:lineRule="auto"/>
      </w:pPr>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Comparison with study-level meta-analysis</w:t>
      </w:r>
    </w:p>
    <w:p>
      <w:pPr>
        <w:spacing w:line="480" w:lineRule="auto"/>
      </w:pPr>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spacing w:line="480" w:lineRule="auto"/>
      </w:pPr>
      <w:r>
        <w:t>Semi-synthetic illustrations</w:t>
      </w:r>
    </w:p>
    <w:p>
      <w:pPr>
        <w:spacing w:line="480" w:lineRule="auto"/>
      </w:pPr>
      <w:r>
        <w:t>Five well-known Simpson-paradox examples were reconstructed as pseudo-individual records and pseudo-general variables were generated to mimic proxies of the known confounder [19][16][17][18][20].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0.746</w:t>
            </w:r>
          </w:p>
        </w:tc>
        <w:tc>
          <w:tcPr>
            <w:tcW w:type="dxa" w:w="1234"/>
          </w:tcPr>
          <w:p>
            <w:pPr>
              <w:spacing w:line="276" w:lineRule="auto"/>
            </w:pPr>
            <w:r>
              <w:t>0.048</w:t>
            </w:r>
          </w:p>
        </w:tc>
        <w:tc>
          <w:tcPr>
            <w:tcW w:type="dxa" w:w="1234"/>
          </w:tcPr>
          <w:p>
            <w:pPr>
              <w:spacing w:line="276" w:lineRule="auto"/>
            </w:pPr>
            <w:r>
              <w:t>0.289</w:t>
            </w:r>
          </w:p>
        </w:tc>
        <w:tc>
          <w:tcPr>
            <w:tcW w:type="dxa" w:w="1234"/>
          </w:tcPr>
          <w:p>
            <w:pPr>
              <w:spacing w:line="276" w:lineRule="auto"/>
            </w:pPr>
            <w:r>
              <w:t>0.011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3. Best real-data illustration result per dataset (oracle baselines excluded).</w:t>
      </w:r>
      <w:r/>
    </w:p>
    <w:p>
      <w:pPr>
        <w:spacing w:after="120" w:line="480" w:lineRule="auto"/>
        <w:jc w:val="center"/>
      </w:pPr>
      <w:r>
        <w:drawing>
          <wp:inline xmlns:a="http://schemas.openxmlformats.org/drawingml/2006/main" xmlns:pic="http://schemas.openxmlformats.org/drawingml/2006/picture">
            <wp:extent cx="5303520" cy="2410691"/>
            <wp:docPr id="3" name="Picture 3" descr="Figure 3. Real-data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Real-data illustration: ARI by dataset and method.</w:t>
      </w:r>
    </w:p>
    <w:p>
      <w:pPr>
        <w:pStyle w:val="Heading2"/>
        <w:spacing w:line="480" w:lineRule="auto"/>
      </w:pPr>
      <w:r>
        <w:t>Sensitivity to sample size</w:t>
      </w:r>
    </w:p>
    <w:p>
      <w:pPr>
        <w:spacing w:line="480" w:lineRule="auto"/>
      </w:pPr>
      <w:r>
        <w:t>To assess whether the findings depend on the total number of participants, we repeated the primary scenario with n = 500, 2000 and 10 000, fixing K = 5 and the moderate Z-to-X and Z-to-Y effects. Figure 4 summarises the results for the leading methods, and Supplementary Table S2 gives the full numerical results. Because this extended sensitivity used only 10 replications per cell, the point estimates are noisier than in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and remained noisy at this number of replications. This mixed pattern confirms that the practical value of IONE depends on the interplay between sample size and method choice: with small samples, estimation error dominates; with large samples, remaining bias reflects structural limits of the selected stratification.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influence strength</w:t>
      </w:r>
    </w:p>
    <w:p>
      <w:pPr>
        <w:spacing w:line="480" w:lineRule="auto"/>
      </w:pPr>
      <w:r>
        <w:t xml:space="preserve">The Z-to-X influence scale governs how much information the measured covariates carry about the hidden modifiers. Supplementary 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p>
      <w:pPr>
        <w:pStyle w:val="Heading2"/>
        <w:spacing w:line="480" w:lineRule="auto"/>
      </w:pPr>
      <w:r>
        <w:t>Sensitivity to Z-to-Y effect strength</w:t>
      </w:r>
    </w:p>
    <w:p>
      <w:pPr>
        <w:spacing w:line="480" w:lineRule="auto"/>
      </w:pPr>
      <w:r>
        <w:t xml:space="preserve">The Z-to-Y effect scale determines the magnitude of the hidden effect modification. Supplementary 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p>
      <w:pPr>
        <w:pStyle w:val="Heading2"/>
        <w:spacing w:line="480" w:lineRule="auto"/>
      </w:pPr>
      <w:r>
        <w:t>Robustness to non-linear Z-to-X mappings</w:t>
      </w:r>
    </w:p>
    <w:p>
      <w:pPr>
        <w:spacing w:line="480" w:lineRule="auto"/>
      </w:pPr>
      <w:r>
        <w:t>In real applications the mapping from hidden modifiers to measured covariates need not be linear. We therefore repeated the primary scenario with a non-linear Z-to-X transformation that included a quadratic term and a log-normal scale transformation. Table 7 compares the random-effects bias under the linear and non-linear mappings for the leading methods, and Figure 5 displays the same comparison. The effect of non-linearity was method-dependent: the outcome-residual and clustering-based approaches achieved somewhat larger relative bias reductions under the transformed mapping, the propensity-score and GMM approaches showed small improvements, and the prognostic-score approach showed a modest decline. No leading method was dramatically degraded by the transformation, indicating that the IONE diagnostics remain useful when measured covariates are non-linear functions of the hidden structure, although the relative ranking of methods can shift.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0.00057</w:t>
            </w:r>
          </w:p>
        </w:tc>
        <w:tc>
          <w:tcPr>
            <w:tcW w:type="dxa" w:w="960"/>
          </w:tcPr>
          <w:p>
            <w:pPr>
              <w:spacing w:line="276" w:lineRule="auto"/>
            </w:pPr>
            <w:r>
              <w:t>0.602</w:t>
            </w:r>
          </w:p>
        </w:tc>
        <w:tc>
          <w:tcPr>
            <w:tcW w:type="dxa" w:w="960"/>
          </w:tcPr>
          <w:p>
            <w:pPr>
              <w:spacing w:line="276" w:lineRule="auto"/>
            </w:pPr>
            <w:r>
              <w:t>0.313</w:t>
            </w:r>
          </w:p>
        </w:tc>
        <w:tc>
          <w:tcPr>
            <w:tcW w:type="dxa" w:w="960"/>
          </w:tcPr>
          <w:p>
            <w:pPr>
              <w:spacing w:line="276" w:lineRule="auto"/>
            </w:pPr>
            <w:r>
              <w:t>0.00664</w:t>
            </w:r>
          </w:p>
        </w:tc>
        <w:tc>
          <w:tcPr>
            <w:tcW w:type="dxa" w:w="960"/>
          </w:tcPr>
          <w:p>
            <w:pPr>
              <w:spacing w:line="276" w:lineRule="auto"/>
            </w:pPr>
            <w:r>
              <w:t>0.00083</w:t>
            </w:r>
          </w:p>
        </w:tc>
        <w:tc>
          <w:tcPr>
            <w:tcW w:type="dxa" w:w="960"/>
          </w:tcPr>
          <w:p>
            <w:pPr>
              <w:spacing w:line="276" w:lineRule="auto"/>
            </w:pPr>
            <w:r>
              <w:t>0.690</w:t>
            </w:r>
          </w:p>
        </w:tc>
        <w:tc>
          <w:tcPr>
            <w:tcW w:type="dxa" w:w="960"/>
          </w:tcPr>
          <w:p>
            <w:pPr>
              <w:spacing w:line="276" w:lineRule="auto"/>
            </w:pPr>
            <w:r>
              <w:t>0.236</w:t>
            </w:r>
          </w:p>
        </w:tc>
      </w:tr>
      <w:tr>
        <w:tc>
          <w:tcPr>
            <w:tcW w:type="dxa" w:w="960"/>
          </w:tcPr>
          <w:p>
            <w:pPr>
              <w:spacing w:line="276" w:lineRule="auto"/>
            </w:pPr>
            <w:r>
              <w:t>PS_propensity_score</w:t>
            </w:r>
          </w:p>
        </w:tc>
        <w:tc>
          <w:tcPr>
            <w:tcW w:type="dxa" w:w="960"/>
          </w:tcPr>
          <w:p>
            <w:pPr>
              <w:spacing w:line="276" w:lineRule="auto"/>
            </w:pPr>
            <w:r>
              <w:t>0.02162</w:t>
            </w:r>
          </w:p>
        </w:tc>
        <w:tc>
          <w:tcPr>
            <w:tcW w:type="dxa" w:w="960"/>
          </w:tcPr>
          <w:p>
            <w:pPr>
              <w:spacing w:line="276" w:lineRule="auto"/>
            </w:pPr>
            <w:r>
              <w:t>0.00412</w:t>
            </w:r>
          </w:p>
        </w:tc>
        <w:tc>
          <w:tcPr>
            <w:tcW w:type="dxa" w:w="960"/>
          </w:tcPr>
          <w:p>
            <w:pPr>
              <w:spacing w:line="276" w:lineRule="auto"/>
            </w:pPr>
            <w:r>
              <w:t>-0.011</w:t>
            </w:r>
          </w:p>
        </w:tc>
        <w:tc>
          <w:tcPr>
            <w:tcW w:type="dxa" w:w="960"/>
          </w:tcPr>
          <w:p>
            <w:pPr>
              <w:spacing w:line="276" w:lineRule="auto"/>
            </w:pPr>
            <w:r>
              <w:t>1.230</w:t>
            </w:r>
          </w:p>
        </w:tc>
        <w:tc>
          <w:tcPr>
            <w:tcW w:type="dxa" w:w="960"/>
          </w:tcPr>
          <w:p>
            <w:pPr>
              <w:spacing w:line="276" w:lineRule="auto"/>
            </w:pPr>
            <w:r>
              <w:t>0.02084</w:t>
            </w:r>
          </w:p>
        </w:tc>
        <w:tc>
          <w:tcPr>
            <w:tcW w:type="dxa" w:w="960"/>
          </w:tcPr>
          <w:p>
            <w:pPr>
              <w:spacing w:line="276" w:lineRule="auto"/>
            </w:pPr>
            <w:r>
              <w:t>0.00566</w:t>
            </w:r>
          </w:p>
        </w:tc>
        <w:tc>
          <w:tcPr>
            <w:tcW w:type="dxa" w:w="960"/>
          </w:tcPr>
          <w:p>
            <w:pPr>
              <w:spacing w:line="276" w:lineRule="auto"/>
            </w:pPr>
            <w:r>
              <w:t>0.027</w:t>
            </w:r>
          </w:p>
        </w:tc>
        <w:tc>
          <w:tcPr>
            <w:tcW w:type="dxa" w:w="960"/>
          </w:tcPr>
          <w:p>
            <w:pPr>
              <w:spacing w:line="276" w:lineRule="auto"/>
            </w:pPr>
            <w:r>
              <w:t>0.245</w:t>
            </w:r>
          </w:p>
        </w:tc>
      </w:tr>
      <w:tr>
        <w:tc>
          <w:tcPr>
            <w:tcW w:type="dxa" w:w="960"/>
          </w:tcPr>
          <w:p>
            <w:pPr>
              <w:spacing w:line="276" w:lineRule="auto"/>
            </w:pPr>
            <w:r>
              <w:t>GMM</w:t>
            </w:r>
          </w:p>
        </w:tc>
        <w:tc>
          <w:tcPr>
            <w:tcW w:type="dxa" w:w="960"/>
          </w:tcPr>
          <w:p>
            <w:pPr>
              <w:spacing w:line="276" w:lineRule="auto"/>
            </w:pPr>
            <w:r>
              <w:t>0.02180</w:t>
            </w:r>
          </w:p>
        </w:tc>
        <w:tc>
          <w:tcPr>
            <w:tcW w:type="dxa" w:w="960"/>
          </w:tcPr>
          <w:p>
            <w:pPr>
              <w:spacing w:line="276" w:lineRule="auto"/>
            </w:pPr>
            <w:r>
              <w:t>0.00547</w:t>
            </w:r>
          </w:p>
        </w:tc>
        <w:tc>
          <w:tcPr>
            <w:tcW w:type="dxa" w:w="960"/>
          </w:tcPr>
          <w:p>
            <w:pPr>
              <w:spacing w:line="276" w:lineRule="auto"/>
            </w:pPr>
            <w:r>
              <w:t>-0.020</w:t>
            </w:r>
          </w:p>
        </w:tc>
        <w:tc>
          <w:tcPr>
            <w:tcW w:type="dxa" w:w="960"/>
          </w:tcPr>
          <w:p>
            <w:pPr>
              <w:spacing w:line="276" w:lineRule="auto"/>
            </w:pPr>
            <w:r>
              <w:t>0.544</w:t>
            </w:r>
          </w:p>
        </w:tc>
        <w:tc>
          <w:tcPr>
            <w:tcW w:type="dxa" w:w="960"/>
          </w:tcPr>
          <w:p>
            <w:pPr>
              <w:spacing w:line="276" w:lineRule="auto"/>
            </w:pPr>
            <w:r>
              <w:t>0.01746</w:t>
            </w:r>
          </w:p>
        </w:tc>
        <w:tc>
          <w:tcPr>
            <w:tcW w:type="dxa" w:w="960"/>
          </w:tcPr>
          <w:p>
            <w:pPr>
              <w:spacing w:line="276" w:lineRule="auto"/>
            </w:pPr>
            <w:r>
              <w:t>0.00629</w:t>
            </w:r>
          </w:p>
        </w:tc>
        <w:tc>
          <w:tcPr>
            <w:tcW w:type="dxa" w:w="960"/>
          </w:tcPr>
          <w:p>
            <w:pPr>
              <w:spacing w:line="276" w:lineRule="auto"/>
            </w:pPr>
            <w:r>
              <w:t>0.185</w:t>
            </w:r>
          </w:p>
        </w:tc>
        <w:tc>
          <w:tcPr>
            <w:tcW w:type="dxa" w:w="960"/>
          </w:tcPr>
          <w:p>
            <w:pPr>
              <w:spacing w:line="276" w:lineRule="auto"/>
            </w:pPr>
            <w:r>
              <w:t>0.214</w:t>
            </w:r>
          </w:p>
        </w:tc>
      </w:tr>
      <w:tr>
        <w:tc>
          <w:tcPr>
            <w:tcW w:type="dxa" w:w="960"/>
          </w:tcPr>
          <w:p>
            <w:pPr>
              <w:spacing w:line="276" w:lineRule="auto"/>
            </w:pPr>
            <w:r>
              <w:t>Prognostic_score</w:t>
            </w:r>
          </w:p>
        </w:tc>
        <w:tc>
          <w:tcPr>
            <w:tcW w:type="dxa" w:w="960"/>
          </w:tcPr>
          <w:p>
            <w:pPr>
              <w:spacing w:line="276" w:lineRule="auto"/>
            </w:pPr>
            <w:r>
              <w:t>0.01536</w:t>
            </w:r>
          </w:p>
        </w:tc>
        <w:tc>
          <w:tcPr>
            <w:tcW w:type="dxa" w:w="960"/>
          </w:tcPr>
          <w:p>
            <w:pPr>
              <w:spacing w:line="276" w:lineRule="auto"/>
            </w:pPr>
            <w:r>
              <w:t>0.00531</w:t>
            </w:r>
          </w:p>
        </w:tc>
        <w:tc>
          <w:tcPr>
            <w:tcW w:type="dxa" w:w="960"/>
          </w:tcPr>
          <w:p>
            <w:pPr>
              <w:spacing w:line="276" w:lineRule="auto"/>
            </w:pPr>
            <w:r>
              <w:t>0.281</w:t>
            </w:r>
          </w:p>
        </w:tc>
        <w:tc>
          <w:tcPr>
            <w:tcW w:type="dxa" w:w="960"/>
          </w:tcPr>
          <w:p>
            <w:pPr>
              <w:spacing w:line="276" w:lineRule="auto"/>
            </w:pPr>
            <w:r>
              <w:t>0.230</w:t>
            </w:r>
          </w:p>
        </w:tc>
        <w:tc>
          <w:tcPr>
            <w:tcW w:type="dxa" w:w="960"/>
          </w:tcPr>
          <w:p>
            <w:pPr>
              <w:spacing w:line="276" w:lineRule="auto"/>
            </w:pPr>
            <w:r>
              <w:t>0.01762</w:t>
            </w:r>
          </w:p>
        </w:tc>
        <w:tc>
          <w:tcPr>
            <w:tcW w:type="dxa" w:w="960"/>
          </w:tcPr>
          <w:p>
            <w:pPr>
              <w:spacing w:line="276" w:lineRule="auto"/>
            </w:pPr>
            <w:r>
              <w:t>0.00442</w:t>
            </w:r>
          </w:p>
        </w:tc>
        <w:tc>
          <w:tcPr>
            <w:tcW w:type="dxa" w:w="960"/>
          </w:tcPr>
          <w:p>
            <w:pPr>
              <w:spacing w:line="276" w:lineRule="auto"/>
            </w:pPr>
            <w:r>
              <w:t>0.178</w:t>
            </w:r>
          </w:p>
        </w:tc>
        <w:tc>
          <w:tcPr>
            <w:tcW w:type="dxa" w:w="960"/>
          </w:tcPr>
          <w:p>
            <w:pPr>
              <w:spacing w:line="276" w:lineRule="auto"/>
            </w:pPr>
            <w:r>
              <w:t>0.247</w:t>
            </w:r>
          </w:p>
        </w:tc>
      </w:tr>
      <w:tr>
        <w:tc>
          <w:tcPr>
            <w:tcW w:type="dxa" w:w="960"/>
          </w:tcPr>
          <w:p>
            <w:pPr>
              <w:spacing w:line="276" w:lineRule="auto"/>
            </w:pPr>
            <w:r>
              <w:t>2B_clustering</w:t>
            </w:r>
          </w:p>
        </w:tc>
        <w:tc>
          <w:tcPr>
            <w:tcW w:type="dxa" w:w="960"/>
          </w:tcPr>
          <w:p>
            <w:pPr>
              <w:spacing w:line="276" w:lineRule="auto"/>
            </w:pPr>
            <w:r>
              <w:t>0.02077</w:t>
            </w:r>
          </w:p>
        </w:tc>
        <w:tc>
          <w:tcPr>
            <w:tcW w:type="dxa" w:w="960"/>
          </w:tcPr>
          <w:p>
            <w:pPr>
              <w:spacing w:line="276" w:lineRule="auto"/>
            </w:pPr>
            <w:r>
              <w:t>0.00573</w:t>
            </w:r>
          </w:p>
        </w:tc>
        <w:tc>
          <w:tcPr>
            <w:tcW w:type="dxa" w:w="960"/>
          </w:tcPr>
          <w:p>
            <w:pPr>
              <w:spacing w:line="276" w:lineRule="auto"/>
            </w:pPr>
            <w:r>
              <w:t>0.028</w:t>
            </w:r>
          </w:p>
        </w:tc>
        <w:tc>
          <w:tcPr>
            <w:tcW w:type="dxa" w:w="960"/>
          </w:tcPr>
          <w:p>
            <w:pPr>
              <w:spacing w:line="276" w:lineRule="auto"/>
            </w:pPr>
            <w:r>
              <w:t>0.514</w:t>
            </w:r>
          </w:p>
        </w:tc>
        <w:tc>
          <w:tcPr>
            <w:tcW w:type="dxa" w:w="960"/>
          </w:tcPr>
          <w:p>
            <w:pPr>
              <w:spacing w:line="276" w:lineRule="auto"/>
            </w:pPr>
            <w:r>
              <w:t>0.01649</w:t>
            </w:r>
          </w:p>
        </w:tc>
        <w:tc>
          <w:tcPr>
            <w:tcW w:type="dxa" w:w="960"/>
          </w:tcPr>
          <w:p>
            <w:pPr>
              <w:spacing w:line="276" w:lineRule="auto"/>
            </w:pPr>
            <w:r>
              <w:t>0.00540</w:t>
            </w:r>
          </w:p>
        </w:tc>
        <w:tc>
          <w:tcPr>
            <w:tcW w:type="dxa" w:w="960"/>
          </w:tcPr>
          <w:p>
            <w:pPr>
              <w:spacing w:line="276" w:lineRule="auto"/>
            </w:pPr>
            <w:r>
              <w:t>0.230</w:t>
            </w:r>
          </w:p>
        </w:tc>
        <w:tc>
          <w:tcPr>
            <w:tcW w:type="dxa" w:w="960"/>
          </w:tcPr>
          <w:p>
            <w:pPr>
              <w:spacing w:line="276" w:lineRule="auto"/>
            </w:pPr>
            <w:r>
              <w:t>0.182</w:t>
            </w:r>
          </w:p>
        </w:tc>
      </w:tr>
    </w:tbl>
    <w:p>
      <w:pPr>
        <w:spacing w:before="240" w:line="480" w:lineRule="auto"/>
      </w:pPr>
      <w:r/>
      <w:r>
        <w:rPr>
          <w:i/>
        </w:rPr>
        <w:t>Table 7. Linear versus non-linear Z-to-X mapping: random-effects ATE bias and relative bias reduction (n=2000, K=5, z=1.0, zx=1.0).</w:t>
      </w:r>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1"/>
        <w:spacing w:line="480" w:lineRule="auto"/>
      </w:pPr>
      <w:r>
        <w:t>4. Discussion</w:t>
      </w:r>
    </w:p>
    <w:p>
      <w:pPr>
        <w:pStyle w:val="Heading2"/>
        <w:spacing w:line="480" w:lineRule="auto"/>
      </w:pPr>
      <w:r>
        <w:t>Principal findings</w:t>
      </w:r>
    </w:p>
    <w:p>
      <w:pPr>
        <w:spacing w:line="480" w:lineRule="auto"/>
      </w:pPr>
      <w:r>
        <w:t>This study frames Incoherence-Oriented Neutralisation and Extraction (IONE) as an exploratory diagnostic for hidden effect modification in individual participant data (IPD) meta-analysis. Two main findings emerge.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pPr>
        <w:spacing w:line="480" w:lineRule="auto"/>
      </w:pPr>
      <w:r>
        <w:t>Despite the modest recovery of the true partition, the best data-driven method reduced the crude ATE bias from 0.01865 to 0.00816 on the risk-difference scale (relative reduction 0.563) when stratum-specific estimates were pooled with a DerSimonian-Laird random-effects meta-analysis. The additional bias reduction from random-effects pooling, relative to a simple fixed-effect stratum-size-weighted summary, shows why stratum-specific effects should be allowed to vary once hidden heterogeneity has been flagged.</w:t>
      </w:r>
    </w:p>
    <w:p>
      <w:pPr>
        <w:pStyle w:val="Heading2"/>
        <w:spacing w:line="480" w:lineRule="auto"/>
      </w:pPr>
      <w:r>
        <w:t>Detection versus extraction</w:t>
      </w:r>
    </w:p>
    <w:p>
      <w:pPr>
        <w:spacing w:line="480" w:lineRule="auto"/>
      </w:pPr>
      <w:r>
        <w:t xml:space="preserve">A two-tier interpretation is useful in practice. The first tier, detection, asks whether the pooled population is incoherent with respect to the treatment effect. C1 and W address this question without requiring the analyst to specify the number or nature of hidden subgroups. If C1 is low and </w:t>
      </w:r>
      <m:oMath>
        <m:sSub>
          <m:e>
            <m:r>
              <m:t xml:space="preserve">W</m:t>
            </m:r>
          </m:e>
          <m:sub>
            <m:r>
              <m:t xml:space="preserve">est</m:t>
            </m:r>
          </m:sub>
        </m:sSub>
      </m:oMath>
      <w:r>
        <w:t xml:space="preserve"> is low, the analyst has evidence that a marginal summary may be misleading and should be interpreted cautiously. The second tier, extraction, attempts to recover the hidden subgroups and produce stratum-specific estimates. Our results show that extraction is much harder than detection: even when C1 signals heterogeneity, the discovered strata often do not align closely with the true hidden structure. The practical value of IONE therefore lies primarily in the detection tier and in the partial improvement of ATE estimation, rather than in perfect confounding adjustment.</w:t>
      </w:r>
    </w:p>
    <w:p>
      <w:pPr>
        <w:pStyle w:val="Heading2"/>
        <w:spacing w:line="480" w:lineRule="auto"/>
      </w:pPr>
      <w:r>
        <w:t>Comparison with existing methods</w:t>
      </w:r>
    </w:p>
    <w:p>
      <w:pPr>
        <w:spacing w:line="480" w:lineRule="auto"/>
      </w:pPr>
      <w:r>
        <w:t>IONE differs from established confounding adjustment methods in its objectives and assumptions. Propensity-score methods [21] and prognostic-score stratification [22] aim to balance or adjust for measured confounders; they are not designed to detect unmeasured population structure. The high-dimensional propensity-score algorithm [25] shares IONE's insight that proxy variables may carry information about unmeasured confounders, but it uses this information to improve propensity-score estimation rather than to identify subgroups or report a coherence diagnostic. Latent class analysis [29] seeks hidden subgroups but typically requires strong distributional assumptions and does not provide a transparent between-stratum heterogeneity statistic analogous to C1.</w:t>
      </w:r>
    </w:p>
    <w:p>
      <w:pPr>
        <w:spacing w:line="480" w:lineRule="auto"/>
      </w:pPr>
      <w:r>
        <w:t>IONE is best understood as complementary to these methods. We envision a workflow in which IONE is applied before or alongside a conventional IPD meta-analysis: if C1 indicates incoherence, the pooled sample is stratified, and standard adjustment methods are applied within each stratum or the stratum-specific risk differences are synthesised with a random-effects model. This two-stage approach—first assessing hidden population structure, then adjusting for measured confounders—may yield more reliable estimates than either approach alone, although our simulation shows the gains are modest under moderate Z-&gt;X trace strength.</w:t>
      </w:r>
    </w:p>
    <w:p>
      <w:pPr>
        <w:pStyle w:val="Heading2"/>
        <w:spacing w:line="480" w:lineRule="auto"/>
      </w:pPr>
      <w:r>
        <w:t>Strengths and limitations</w:t>
      </w:r>
    </w:p>
    <w:p>
      <w:pPr>
        <w:spacing w:line="480" w:lineRule="auto"/>
      </w:pPr>
      <w:r/>
      <w:r>
        <w:rPr>
          <w:b/>
        </w:rPr>
        <w:t>Strengths.</w:t>
      </w:r>
      <w:r>
        <w:t xml:space="preserve"> This simulation study followed the ADEMP framework [31], with transparent reporting of the data-generating mechanism, estimands, candidate methods, performance metrics and number of replications. All numerical results are produced by the repository scripts and inserted into the manuscript automatically, so the docx and markdown files can be regenerated without hand-entered numbers. The IPD data-generating mechanism includes study-level variation in baseline risk, treatment prevalence and covariate distributions, which mirrors the heterogeneity encountered in real IPD meta-analyses.</w:t>
      </w:r>
    </w:p>
    <w:p>
      <w:pPr>
        <w:spacing w:line="480" w:lineRule="auto"/>
      </w:pPr>
      <w:r/>
      <w:r>
        <w:rPr>
          <w:b/>
        </w:rPr>
        <w:t>Limitations.</w:t>
      </w:r>
      <w:r>
        <w:t xml:space="preserve"> Several limitations should be acknowledged. First, the primary scenario used a single total sample size (n=2000) and a moderate Z-&gt;X trace, although additional sensitivity analyses examined n=500 to 10 000, Z-to-Y effect scales, Z-to-X influence scales and a non-linear Z-&gt;X mapping.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m:oMath>
        <m:sSub>
          <m:e>
            <m:r>
              <m:t xml:space="preserve">W</m:t>
            </m:r>
          </m:e>
          <m:sub>
            <m:r>
              <m:t xml:space="preserve">est</m:t>
            </m:r>
          </m:sub>
        </m:sSub>
      </m:oMath>
      <w:r>
        <w:t xml:space="preserve"> depends on a correctly specified outcome model (</w:t>
      </w:r>
      <m:oMath>
        <m:r>
          <m:t xml:space="preserve">Y ~ X + A + X×A</m:t>
        </m:r>
      </m:oMath>
      <w:r>
        <w:t xml:space="preserve">). If the outcome model is misspecified, </w:t>
      </w:r>
      <m:oMath>
        <m:sSub>
          <m:e>
            <m:r>
              <m:t xml:space="preserve">W</m:t>
            </m:r>
          </m:e>
          <m:sub>
            <m:r>
              <m:t xml:space="preserve">est</m:t>
            </m:r>
          </m:sub>
        </m:sSub>
      </m:oMath>
      <w:r>
        <w:t xml:space="preserve"> may be misleading. Fourth, the DerSimonian-Laird synthesis treats discovered strata as if they were independent studies; because strata are derived from the same data set, the stratum estimates are not independent and the </w:t>
      </w:r>
      <m:oMath>
        <m:sSup>
          <m:e>
            <m:r>
              <m:t xml:space="preserve">τ</m:t>
            </m:r>
          </m:e>
          <m:sup>
            <m:r>
              <m:t xml:space="preserve">2</m:t>
            </m:r>
          </m:sup>
        </m:sSup>
      </m:oMath>
      <w:r>
        <w:t xml:space="preserve"> and </w:t>
      </w:r>
      <m:oMath>
        <m:sSup>
          <m:e>
            <m:r>
              <m:t xml:space="preserve">I</m:t>
            </m:r>
          </m:e>
          <m:sup>
            <m:r>
              <m:t xml:space="preserve">2</m:t>
            </m:r>
          </m:sup>
        </m:sSup>
      </m:oMath>
      <w:r>
        <w:t xml:space="preserve"> values should be viewed as summaries rather than as estimates of conventional between-study heterogeneity. Fifth, C1 is computed from stratum-specific log odds ratios while ATE bias is on the risk-difference scale; a low C1 is a signal of incoherence but does not directly quantify the magnitude of ATE bias. Sixth, the semi-synthetic illustrations use aggregate published data reconstructed as pseudo-individual records; they demonstrate favourable and unfavourable settings for stratification but are not validation in real individual-level IPD.</w:t>
      </w:r>
    </w:p>
    <w:p>
      <w:pPr>
        <w:pStyle w:val="Heading2"/>
        <w:spacing w:line="480" w:lineRule="auto"/>
      </w:pPr>
      <w:r>
        <w:t>Implications for practice</w:t>
      </w:r>
    </w:p>
    <w:p>
      <w:pPr>
        <w:spacing w:line="480" w:lineRule="auto"/>
      </w:pPr>
      <w:r>
        <w:t xml:space="preserve">We recommend that reports of IPD meta-analyses include a coherence assessment alongside the conventional summary of between-study heterogeneity. If C1 is low and </w:t>
      </w:r>
      <m:oMath>
        <m:sSub>
          <m:e>
            <m:r>
              <m:t xml:space="preserve">W</m:t>
            </m:r>
          </m:e>
          <m:sub>
            <m:r>
              <m:t xml:space="preserve">est</m:t>
            </m:r>
          </m:sub>
        </m:sSub>
      </m:oMath>
      <w:r>
        <w:t xml:space="preserve"> is small, the marginal effect should be interpreted cautiously, and the analyst should explore prespecified subgroups, measured treatment-covariate interactions and sensitivity analyses. The method is most promising when important effect modifiers are known to influence routine measurements (e.g. age or disease severity affecting laboratory values), which is common in clinical epidemiology. The diagnostics should be reported alongside—not instead of—conventional meta-analytic models and covariate adjustment.</w:t>
      </w:r>
    </w:p>
    <w:p>
      <w:pPr>
        <w:pStyle w:val="Heading2"/>
        <w:spacing w:line="480" w:lineRule="auto"/>
      </w:pPr>
      <w:r>
        <w:t>Future directions</w:t>
      </w:r>
    </w:p>
    <w:p>
      <w:pPr>
        <w:spacing w:line="480" w:lineRule="auto"/>
      </w:pPr>
      <w:r>
        <w:t>Several extensions would strengthen the framework. Survival outcomes are common in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spacing w:line="480" w:lineRule="auto"/>
      </w:pPr>
      <w:r>
        <w:t>5. Conclusions</w:t>
      </w:r>
    </w:p>
    <w:p>
      <w:pPr>
        <w:spacing w:line="480" w:lineRule="auto"/>
      </w:pPr>
      <w:r>
        <w:t>IONE (Incoherence-Oriented Neutralisation and Extraction) is an exploratory diagnostic for hidden effect modification in IPD meta-analysis. Monte Carlo simulation and semi-synthetic examples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listing all Python dependencies, fixed random seeds for every scenario, and a </w:t>
      </w:r>
      <w:r>
        <w:rPr>
          <w:rFonts w:ascii="Courier New" w:hAnsi="Courier New"/>
        </w:rPr>
        <w:t>generate_summary.py</w:t>
      </w:r>
      <w:r>
        <w:t xml:space="preserve"> script that reproduces the CSV summaries from which the manuscript numbers are drawn. Running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in a Python 3.11 environment regenerates the main manuscript docx, tables docx and figure files. An archived release with a Zenodo DOI will be created before acceptance to satisfy long-term reproducibility requirements. The published aggregate datasets used for the semi-synthetic illustrations are referenced in the original publications [16][17][18][19][20].</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and the four extended sensitivity tables are provided in </w:t>
      </w:r>
      <w:r>
        <w:rPr>
          <w:rFonts w:ascii="Courier New" w:hAnsi="Courier New"/>
        </w:rPr>
        <w:t>biostatistics_supplementary_v3.docx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between August 2025 and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Hammerton G, Munafò MR. Causal inference with observational data: the need for triangulation of evidence. Psychol Med. 2021;51(4):563–578.</w:t>
      </w:r>
    </w:p>
    <w:p>
      <w:pPr>
        <w:spacing w:line="480" w:lineRule="auto"/>
      </w:pPr>
      <w:r>
        <w:t>[10] Hernán MA, Robins JM. Causal Inference: What If. Boca Raton: Chapman &amp; Hall/CRC; 2020.</w:t>
      </w:r>
    </w:p>
    <w:p>
      <w:pPr>
        <w:spacing w:line="480" w:lineRule="auto"/>
      </w:pPr>
      <w:r>
        <w:t>[11] VanderWeele TJ, Shpitser I. On the definition of a confounder. Ann Stat. 2013;41(1):196–220.</w:t>
      </w:r>
    </w:p>
    <w:p>
      <w:pPr>
        <w:spacing w:line="480" w:lineRule="auto"/>
      </w:pPr>
      <w:r>
        <w:t>[12] Simpson EH. The interpretation of interaction in contingency tables. J R Stat Soc Ser B. 1951;13(2):238–241.</w:t>
      </w:r>
    </w:p>
    <w:p>
      <w:pPr>
        <w:spacing w:line="480" w:lineRule="auto"/>
      </w:pPr>
      <w:r>
        <w:t>[13] Rojanaworarit C. Misleading epidemiological and statistical evidence in the presence of Simpson's paradox: an illustrative study using simulated scenarios. J Med Life. 2020;13(1):37–44.</w:t>
      </w:r>
    </w:p>
    <w:p>
      <w:pPr>
        <w:spacing w:line="480" w:lineRule="auto"/>
      </w:pPr>
      <w:r>
        <w:t>[14] VanderWeele TJ, Knol MJ. A tutorial on interaction. Epidemiol Methods. 2014;3(1):33–72.</w:t>
      </w:r>
    </w:p>
    <w:p>
      <w:pPr>
        <w:spacing w:line="480" w:lineRule="auto"/>
      </w:pPr>
      <w:r>
        <w:t>[15] Robinson WS. Ecological correlations and the behavior of individuals. Am Sociol Rev. 1950;15(3):351–357.</w:t>
      </w:r>
    </w:p>
    <w:p>
      <w:pPr>
        <w:spacing w:line="480" w:lineRule="auto"/>
      </w:pPr>
      <w:r>
        <w:t>[16] Charig CR, Webb DR, Payne SR, Wickham JE. Comparison of treatment of renal calculi by open surgery, percutaneous nephrolithotomy, and extracorporeal shockwave lithotripsy. BMJ. 1986;292(6521):879–882.</w:t>
      </w:r>
    </w:p>
    <w:p>
      <w:pPr>
        <w:spacing w:line="480" w:lineRule="auto"/>
      </w:pPr>
      <w:r>
        <w:t>[17] Bickel PJ, Hammel EA, O'Connell JW. Sex bias in graduate admissions: data from Berkeley. Science. 1975;187(4175):398–404.</w:t>
      </w:r>
    </w:p>
    <w:p>
      <w:pPr>
        <w:spacing w:line="480" w:lineRule="auto"/>
      </w:pPr>
      <w:r>
        <w:t>[18] von Kügelgen J, Gresele L, Schölkopf B. Simpson's paradox in Covid-19 case fatality rates: a mediation analysis of age-related causal effects. IEEE Trans Artif Intell. 2021;2(1):18–27.</w:t>
      </w:r>
    </w:p>
    <w:p>
      <w:pPr>
        <w:spacing w:line="480" w:lineRule="auto"/>
      </w:pPr>
      <w:r>
        <w:t>[19] Morris JS. Israeli data: how can efficacy vs. severe disease be strong when 60% of hospitalized are vaccinated? 2021. Available from: https://www.covid-datascience.com/post/israeli-data-how-can-efficacy-vs-severe-disease-be-strong-when-60-of-hospitalized-are-vaccinated</w:t>
      </w:r>
    </w:p>
    <w:p>
      <w:pPr>
        <w:spacing w:line="480" w:lineRule="auto"/>
      </w:pPr>
      <w:r>
        <w:t>[20] Appleton DR, French NR, Vanderpump MP. Ignoring a covariate: an example of Simpson's paradox. Am Stat. 1996;50(4):340–341.</w:t>
      </w:r>
    </w:p>
    <w:p>
      <w:pPr>
        <w:spacing w:line="480" w:lineRule="auto"/>
      </w:pPr>
      <w:r>
        <w:t>[21] Rosenbaum PR, Rubin DB. The central role of the propensity score in observational studies for causal effects. Biometrika. 1983;70(1):41–55.</w:t>
      </w:r>
    </w:p>
    <w:p>
      <w:pPr>
        <w:spacing w:line="480" w:lineRule="auto"/>
      </w:pPr>
      <w:r>
        <w:t>[22] Hansen BB. The prognostic analogue of the propensity score. Biometrika. 2008;95(2):481–488.</w:t>
      </w:r>
    </w:p>
    <w:p>
      <w:pPr>
        <w:spacing w:line="480" w:lineRule="auto"/>
      </w:pPr>
      <w:r>
        <w:t>[23] Miettinen OS. Stratification by a multivariate confounder score. Am J Epidemiol. 1976;104(6):609–620.</w:t>
      </w:r>
    </w:p>
    <w:p>
      <w:pPr>
        <w:spacing w:line="480" w:lineRule="auto"/>
      </w:pPr>
      <w:r>
        <w:t>[24] Angrist JD, Imbens GW, Rubin DB. Identification of causal effects using instrumental variables. J Am Stat Assoc. 1996;91(434):444–455.</w:t>
      </w:r>
    </w:p>
    <w:p>
      <w:pPr>
        <w:spacing w:line="480" w:lineRule="auto"/>
      </w:pPr>
      <w:r>
        <w:t>[25] Schneeweiss S, Rassen JA, Glynn RJ, Avorn J, Mogun H, Brookhart MA. High-dimensional propensity score adjustment in studies of treatment effects using health care claims data. Epidemiology. 2009;20(4):512–522.</w:t>
      </w:r>
    </w:p>
    <w:p>
      <w:pPr>
        <w:spacing w:line="480" w:lineRule="auto"/>
      </w:pPr>
      <w:r>
        <w:t>[26] Rassen JA, Schneeweiss S. Using high-dimensional propensity scores to automate confounding control in a distributed medical product safety surveillance system. Pharmacoepidemiol Drug Saf. 2012;21(S1):41–49.</w:t>
      </w:r>
    </w:p>
    <w:p>
      <w:pPr>
        <w:spacing w:line="480" w:lineRule="auto"/>
      </w:pPr>
      <w:r>
        <w:t>[27] Wyss R, Schneeweiss S, van der Laan M, Lendle SD, Ju C, Franklin JM. Machine learning for improving high-dimensional proxy confounder adjustment in healthcare database studies. Stat Med. 2018;37(8):1310–1324.</w:t>
      </w:r>
    </w:p>
    <w:p>
      <w:pPr>
        <w:spacing w:line="480" w:lineRule="auto"/>
      </w:pPr>
      <w:r>
        <w:t>[28] Tchetgen Tchetgen EJ, Ying A, Cui Y, Shi X, Miao W. An introduction to proximal causal inference. Stat Sci. 2024;39(3):375–390.</w:t>
      </w:r>
    </w:p>
    <w:p>
      <w:pPr>
        <w:spacing w:line="480" w:lineRule="auto"/>
      </w:pPr>
      <w:r>
        <w:t>[29] McLachlan GJ, Peel D. Finite Mixture Models. New York: Wiley; 2000.</w:t>
      </w:r>
    </w:p>
    <w:p>
      <w:pPr>
        <w:spacing w:line="480" w:lineRule="auto"/>
      </w:pPr>
      <w:r>
        <w:t>[30] Hayes-Larson E, Kezios KL, Mooney SJ, Lovasi G. Who is in this study, anyway? Guidelines for a useful Table 1. J Clin Epidemiol. 2019;114:125–132.</w:t>
      </w:r>
    </w:p>
    <w:p>
      <w:pPr>
        <w:spacing w:line="480" w:lineRule="auto"/>
      </w:pPr>
      <w:r>
        <w:t>[31] Morris TP, White IR, Crowther MJ. Using simulation studies to evaluate statistical methods. Stat Med. 2019;38(11):2074–2102.</w:t>
      </w:r>
    </w:p>
    <w:p>
      <w:pPr>
        <w:spacing w:line="480" w:lineRule="auto"/>
      </w:pPr>
      <w:r>
        <w:t>[32]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