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IONE: Incoherence-Oriented Neutralisation and Extraction for hidden effect modification in individual participant data meta-analysis: a simulation study of stratification-based extraction</w:t>
      </w:r>
    </w:p>
    <w:p>
      <w:r>
        <w:br w:type="page"/>
      </w:r>
    </w:p>
    <w:p>
      <w:pPr>
        <w:pStyle w:val="Heading1"/>
      </w:pPr>
      <w:r>
        <w:t>Abstract</w:t>
      </w:r>
    </w:p>
    <w:p>
      <w:r/>
      <w:r>
        <w:rPr>
          <w:b/>
        </w:rPr>
        <w:t>Background:</w:t>
      </w:r>
      <w:r>
        <w:t xml:space="preserve"> In IPD meta-analysis, marginal treatment-effect estimates can be biased when hidden effect modifiers are ignored. We propose Incoherence-Oriented Neutralisation and Extraction (IONE), an exploratory diagnostic for hidden effect modification.</w:t>
      </w:r>
    </w:p>
    <w:p>
      <w:r/>
      <w:r>
        <w:rPr>
          <w:b/>
        </w:rPr>
        <w:t>Methods:</w:t>
      </w:r>
      <w:r>
        <w:t xml:space="preserve"> We simulated an IPD meta-analysis with 10 studies, a binary treatment and outcome, measured covariates carrying traces of an unmeasured modifier, and study-level variation in baseline risk and treatment prevalence. Proposed and comparator methods stratified the pooled IPD; stratum-specific risk differences were synthesised with fixed-effect and DerSimonian-Laird random-effects meta-analysis. We report ARI, C1, </w:t>
      </w:r>
      <m:oMath>
        <m:sSub>
          <m:e>
            <m:r>
              <m:t xml:space="preserve">W</m:t>
            </m:r>
          </m:e>
          <m:sub>
            <m:r>
              <m:t xml:space="preserve">true</m:t>
            </m:r>
          </m:sub>
        </m:sSub>
      </m:oMath>
      <w:r>
        <w:t xml:space="preserve">/</w:t>
      </w:r>
      <m:oMath>
        <m:sSub>
          <m:e>
            <m:r>
              <m:t xml:space="preserve">W</m:t>
            </m:r>
          </m:e>
          <m:sub>
            <m:r>
              <m:t xml:space="preserve">est</m:t>
            </m:r>
          </m:sub>
        </m:sSub>
      </m:oMath>
      <w:r>
        <w:t xml:space="preserve"> and ATE bias reduction with Monte Carlo standard errors.</w:t>
      </w:r>
    </w:p>
    <w:p>
      <w:r/>
      <w:r>
        <w:rPr>
          <w:b/>
        </w:rPr>
        <w:t>Results:</w:t>
      </w:r>
      <w:r>
        <w:t xml:space="preserve"> In the primary scenario (n=2000, 10 studies, K=5 strata), the best method by ATE bias reduction was 1B_residual (ARI 0.032;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recovery of the true hidden structure remained modest. Sensitivity analyses showed that bias reduction depends most on sample size and effect-modification strength, and the diagnostics remained informative under non-linear covariate mappings.</w:t>
      </w:r>
    </w:p>
    <w:p>
      <w:r/>
      <w:r>
        <w:rPr>
          <w:b/>
        </w:rPr>
        <w:t>Conclusions:</w:t>
      </w:r>
      <w:r>
        <w:t xml:space="preserve"> IONE is a transparent diagnostic for hidden effect modification in IPD meta-analyses, to be reported alongside conventional models and covariate adjustment.</w:t>
      </w:r>
    </w:p>
    <w:p>
      <w:r/>
      <w:r>
        <w:rPr>
          <w:b/>
        </w:rPr>
        <w:t>Keywords:</w:t>
      </w:r>
      <w:r>
        <w:t xml:space="preserve"> individual participant data meta-analysis; evidence synthesis; heterogeneity; hidden effect modification; stratification</w:t>
      </w:r>
    </w:p>
    <w:p>
      <w:r>
        <w:br w:type="page"/>
      </w:r>
    </w:p>
    <w:p>
      <w:pPr>
        <w:pStyle w:val="Heading1"/>
      </w:pPr>
      <w:r>
        <w:t>1. Introduction</w:t>
      </w:r>
    </w:p>
    <w:p>
      <w:r>
        <w:t xml:space="preserve">Meta-analysis combines treatment-effect estimates from related studies [1]. IPD meta-analyses preserve participant-level covariates and can improve power for treatment-covariate interactions [2][3], but standard syntheses still estimate an average effect and may miss unmeasured effect modifiers. When the pooled population mixes subgroups with different treatment effects, a marginal summary can be biased [4][5]. We therefore frame IONE as an exploratory diagnostic that is applied before or alongside a conventional IPD meta-analysis. The term </w:t>
      </w:r>
      <w:r>
        <w:rPr>
          <w:i/>
        </w:rPr>
        <w:t>neutralisation</w:t>
      </w:r>
      <w:r>
        <w:t xml:space="preserve"> means reducing the misleading influence of a marginal summary by extracting coherent subpopulations for separate analysis.</w:t>
      </w:r>
    </w:p>
    <w:p>
      <w:r>
        <w:t xml:space="preserve">Several tools already explore heterogeneity in IPD meta-analysis, including subgroup analyses, meta-regression and mixed models with treatment-covariate interactions. These explain heterogeneity through measured covariates and study characteristics, but they do not test whether the pooled participants themselves form homogeneous subpopulations with respect to the treatment effect. As coherence diagnostics we propose C1, derived from the </w:t>
      </w:r>
      <m:oMath>
        <m:sSup>
          <m:e>
            <m:r>
              <m:t xml:space="preserve">I</m:t>
            </m:r>
          </m:e>
          <m:sup>
            <m:r>
              <m:t xml:space="preserve">2</m:t>
            </m:r>
          </m:sup>
        </m:sSup>
      </m:oMath>
      <w:r>
        <w:t xml:space="preserve"> heterogeneity statistic [6] applied to stratum-specific log odds ratios, and W, the proportion of total conditional average treatment effect variance explained by the stratification. C1 signals between-stratum incoherence; W measures within-stratum homogeneity. In a two-stage diagnostic, the analyst first checks C1/W, and if incoherence is indicated, stratifies the pooled IPD and synthesises stratum-specific effects.</w:t>
      </w:r>
    </w:p>
    <w:p>
      <w:pPr>
        <w:pStyle w:val="Heading1"/>
      </w:pPr>
      <w:r>
        <w:t>2. Methods</w:t>
      </w:r>
    </w:p>
    <w:p>
      <w:r>
        <w:t>This simulation study follows the ADEMP framework [7].</w:t>
      </w:r>
    </w:p>
    <w:p>
      <w:pPr>
        <w:pStyle w:val="Heading2"/>
      </w:pPr>
      <w:r>
        <w:t>Aims</w:t>
      </w:r>
    </w:p>
    <w:p>
      <w:pPr>
        <w:pStyle w:val="ListNumber"/>
      </w:pPr>
      <w:r>
        <w:t>Evaluate whether stratification of pooled IPD based on measured covariates can recover hidden subgroup structure.</w:t>
      </w:r>
    </w:p>
    <w:p>
      <w:pPr>
        <w:pStyle w:val="ListNumber"/>
      </w:pPr>
      <w:r>
        <w:t>Compare outcome-informed IONE methods with outcome-free and established comparators.</w:t>
      </w:r>
    </w:p>
    <w:p>
      <w:pPr>
        <w:pStyle w:val="ListNumber"/>
      </w:pPr>
      <w:r>
        <w:t>Assess whether C1 and W diagnose hidden effect modification.</w:t>
      </w:r>
    </w:p>
    <w:p>
      <w:pPr>
        <w:pStyle w:val="ListNumber"/>
      </w:pPr>
      <w:r>
        <w:t>Quantify ATE bias reduction from fixed-effect and DerSimonian-Laird random-effects synthesis of stratum-specific risk differences.</w:t>
      </w:r>
    </w:p>
    <w:p>
      <w:pPr>
        <w:pStyle w:val="ListNumber"/>
      </w:pPr>
      <w:r>
        <w:t>Identify data-generating conditions under which the diagnostics are most informative.</w:t>
      </w:r>
    </w:p>
    <w:p>
      <w:pPr>
        <w:pStyle w:val="Heading2"/>
      </w:pPr>
      <w:r>
        <w:t>IPD data-generating mechanism</w:t>
      </w:r>
    </w:p>
    <w:p>
      <w:r>
        <w:t>We simulated an IPD meta-analysis with n=2000 participants assigned to 10 studies. Study-level variation in baseline risk, treatment prevalence and a continuous age-like covariate was controlled by a scale parameter of 0.6.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true estimand was the population risk-difference ATE. Full algebraic details are in Additional file 1; all scenarios used fixed random seeds.</w:t>
      </w:r>
    </w:p>
    <w:p>
      <w:r>
        <w:t>The primary scenario used n=2000 participants, 10 studies and K=5 strata. We also varied K (3, 5, 10), sample size (500, 2000, 10 000), Z-to-Y effect scale (0.5, 1.0, 2.0), Z-to-X influence scale (0.2, 0.5, 1.0), and introduced a non-linear Z-to-X mapping (quadratic and log-normal). The primary and strata-sensitivity scenarios used 50 replications; the extended robustness scenarios used 10 replications.</w:t>
      </w:r>
    </w:p>
    <w:p>
      <w:pPr>
        <w:pStyle w:val="Heading2"/>
      </w:pPr>
      <w:r>
        <w:t>Stratification methods</w:t>
      </w:r>
    </w:p>
    <w:p>
      <w:r/>
      <w:r>
        <w:rPr>
          <w:b/>
        </w:rPr>
        <w:t>Proposed Family 1 (outcome-informed).</w:t>
      </w:r>
      <w:r/>
    </w:p>
    <w:p>
      <w:pPr>
        <w:pStyle w:val="ListBullet"/>
      </w:pPr>
      <w:r/>
      <w:r>
        <w:rPr>
          <w:b/>
        </w:rPr>
        <w:t>Method 1A (Predicted probability):</w:t>
      </w:r>
      <w:r>
        <w:t xml:space="preserve"> logistic regression of Y on X; stratify by quantiles of the predicted probability </w:t>
      </w:r>
      <m:oMath>
        <m:acc>
          <m:accPr>
            <m:chr m:val="^"/>
          </m:accPr>
          <m:e>
            <m:r>
              <m:t xml:space="preserve">p</m:t>
            </m:r>
          </m:e>
        </m:acc>
      </m:oMath>
      <w:r>
        <w:t xml:space="preserve">.</w:t>
      </w:r>
    </w:p>
    <w:p>
      <w:pPr>
        <w:pStyle w:val="ListBullet"/>
      </w:pPr>
      <w:r/>
      <w:r>
        <w:rPr>
          <w:b/>
        </w:rPr>
        <w:t>Method 1B (Residual):</w:t>
      </w:r>
      <w:r>
        <w:t xml:space="preserve"> stratify by quantiles of </w:t>
      </w:r>
      <m:oMath>
        <m:r>
          <m:t xml:space="preserve">|Y - </m:t>
        </m:r>
        <m:acc>
          <m:accPr>
            <m:chr m:val="^"/>
          </m:accPr>
          <m:e>
            <m:r>
              <m:t xml:space="preserve">p</m:t>
            </m:r>
          </m:e>
        </m:acc>
        <m:r>
          <m:t xml:space="preserve">|</m:t>
        </m:r>
      </m:oMath>
      <w:r>
        <w:t xml:space="preserve"> from the same model.</w:t>
      </w:r>
    </w:p>
    <w:p>
      <w:pPr>
        <w:pStyle w:val="ListBullet"/>
      </w:pPr>
      <w:r/>
      <w:r>
        <w:rPr>
          <w:b/>
        </w:rPr>
        <w:t>Method 1C (Cross-validated):</w:t>
      </w:r>
      <w:r>
        <w:t xml:space="preserve"> K-fold cross-validated predictions before stratification.</w:t>
      </w:r>
    </w:p>
    <w:p>
      <w:r/>
      <w:r>
        <w:rPr>
          <w:b/>
        </w:rPr>
        <w:t>Proposed Family 2 (outcome-free).</w:t>
      </w:r>
      <w:r/>
    </w:p>
    <w:p>
      <w:pPr>
        <w:pStyle w:val="ListBullet"/>
      </w:pPr>
      <w:r/>
      <w:r>
        <w:rPr>
          <w:b/>
        </w:rPr>
        <w:t>Method 2A (PCA):</w:t>
      </w:r>
      <w:r>
        <w:t xml:space="preserve"> PC1 of standardised X, stratified by quantiles.</w:t>
      </w:r>
    </w:p>
    <w:p>
      <w:pPr>
        <w:pStyle w:val="ListBullet"/>
      </w:pPr>
      <w:r/>
      <w:r>
        <w:rPr>
          <w:b/>
        </w:rPr>
        <w:t>Method 2B (Clustering):</w:t>
      </w:r>
      <w:r>
        <w:t xml:space="preserve"> K-means on standardised X with K clusters.</w:t>
      </w:r>
    </w:p>
    <w:p>
      <w:r/>
      <w:r>
        <w:rPr>
          <w:b/>
        </w:rPr>
        <w:t>Comparators and baselines.</w:t>
      </w:r>
      <w:r/>
    </w:p>
    <w:p>
      <w:pPr>
        <w:pStyle w:val="ListBullet"/>
      </w:pPr>
      <w:r>
        <w:t>Propensity-score quintiles [8], Gaussian mixture model on X [9], prognostic-score stratification using untreated-only Y~X [10]. Oracle baselines stratify by true Z-space; random assignment provides a chance reference.</w:t>
      </w:r>
    </w:p>
    <w:p>
      <w:r>
        <w:t>All quantile methods used equal-frequency strata. Logistic regression used l2 regularisation (C=1.0, lbfgs). Outcome-informed methods used a 50/50 discovery/evaluation split; outcome-free methods used the full sample.</w:t>
      </w:r>
    </w:p>
    <w:p>
      <w:pPr>
        <w:pStyle w:val="Heading2"/>
      </w:pPr>
      <w:r>
        <w:t>Synthesis of stratum-specific effects</w:t>
      </w:r>
    </w:p>
    <w:p>
      <w:r>
        <w:t xml:space="preserve">Within each stratum we computed the risk difference </w:t>
      </w:r>
      <m:oMath>
        <m:r>
          <m:t xml:space="preserve">P(Y=1|A=1) - P(Y=1|A=0)</m:t>
        </m:r>
      </m:oMath>
      <w:r>
        <w:t xml:space="preserve">. A two-stage fixed-effect summary weighted strata by size; a DerSimonian-Laird random-effects summary estimated between-stratum variance [11]. </w:t>
      </w:r>
      <w:r>
        <w:rPr>
          <w:i/>
        </w:rPr>
        <w:t>Neutralisation</w:t>
      </w:r>
      <w:r>
        <w:t xml:space="preserve"> means reducing the misleading influence of a marginal summary by extracting coherent subpopulations. Two caveats apply: discovered strata are not independent study estimates, and C1 is computed from log odds ratios while ATE bias is on the risk-difference scale, so C1 is an indirect diagnostic.</w:t>
      </w:r>
    </w:p>
    <w:p>
      <w:pPr>
        <w:pStyle w:val="Heading2"/>
      </w:pPr>
      <w:r>
        <w:t>Evaluation metrics</w:t>
      </w:r>
    </w:p>
    <w:p>
      <w:pPr>
        <w:pStyle w:val="ListBullet"/>
      </w:pPr>
      <w:r/>
      <w:r>
        <w:rPr>
          <w:b/>
        </w:rPr>
        <w:t>ARI</w:t>
      </w:r>
      <w:r>
        <w:t xml:space="preserve"> [12]: agreement between estimated strata and a true-Z partition, corrected for chance.</w:t>
      </w:r>
    </w:p>
    <w:p>
      <w:pPr>
        <w:pStyle w:val="ListBullet"/>
      </w:pPr>
      <w:r/>
      <w:r>
        <w:rPr>
          <w:b/>
        </w:rPr>
        <w:t>C1</w:t>
      </w:r>
      <w:r>
        <w:t xml:space="preserve"> = 1 - </w:t>
      </w:r>
      <m:oMath>
        <m:sSup>
          <m:e>
            <m:r>
              <m:t xml:space="preserve">I</m:t>
            </m:r>
          </m:e>
          <m:sup>
            <m:r>
              <m:t xml:space="preserve">2</m:t>
            </m:r>
          </m:sup>
        </m:sSup>
      </m:oMath>
      <w:r>
        <w:t xml:space="preserve"> applied to stratum-specific log odds ratios [6]; lower C1 indicates stronger between-stratum heterogeneity.</w:t>
      </w:r>
    </w:p>
    <w:p>
      <w:pPr>
        <w:pStyle w:val="ListBullet"/>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w:t>
      </w:r>
      <m:oMath>
        <m:sSub>
          <m:e>
            <m:r>
              <m:t xml:space="preserve">W</m:t>
            </m:r>
          </m:e>
          <m:sub>
            <m:r>
              <m:t xml:space="preserve">est</m:t>
            </m:r>
          </m:sub>
        </m:sSub>
      </m:oMath>
      <w:r>
        <w:t xml:space="preserve"> is operational in real data but requires a correctly specified outcome model.</w:t>
      </w:r>
    </w:p>
    <w:p>
      <w:pPr>
        <w:pStyle w:val="ListBullet"/>
      </w:pPr>
      <w:r/>
      <w:r>
        <w:rPr>
          <w:b/>
        </w:rPr>
        <w:t>ATE bias reduction:</w:t>
      </w:r>
      <w:r>
        <w:t xml:space="preserve"> absolute differences between crude, stratified and random-effects estimates, plus relative ratios.</w:t>
      </w:r>
    </w:p>
    <w:p>
      <w:pPr>
        <w:pStyle w:val="ListBullet"/>
      </w:pPr>
      <w:r>
        <w:t>Monte Carlo SE and 95% CI for every mean.</w:t>
      </w:r>
    </w:p>
    <w:p>
      <w:r>
        <w:t>The true-Z partition is a k-means clustering of the standardised Z-space with K strata. ARI therefore measures agreement with a constructed reference.</w:t>
      </w:r>
    </w:p>
    <w:p>
      <w:pPr>
        <w:pStyle w:val="Heading2"/>
      </w:pPr>
      <w:r>
        <w:t>Semi-synthetic illustrations</w:t>
      </w:r>
    </w:p>
    <w:p>
      <w:r>
        <w:t>Five well-known Simpson-paradox examples were reconstructed as pseudo-individual records from published aggregate statistics [13][14][15][16][17]. For each example, pseudo-general variables mimicked proxies of the known confounder and the same IONE methods were applied. The candidate number of strata was selected a priori from {2, 3, min(K_true,4), K_true} and K was chosen as the value maximising ARI within this set. These examples illustrate favourable and unfavourable settings for stratification; they are not validation in real IPD.</w:t>
      </w:r>
    </w:p>
    <w:p>
      <w:pPr>
        <w:pStyle w:val="Heading2"/>
      </w:pPr>
      <w:r>
        <w:t>Reporting and reproducibility</w:t>
      </w:r>
    </w:p>
    <w:p>
      <w:r>
        <w:t>The design followed ADEMP [7]; checklists are in Additional files 2 and 3. The pipeline is version-controlled; every manuscript number is read from repository CSV outputs. Code and data are at https://github.com/bougtoir/ione-stratification-framework.</w:t>
      </w:r>
    </w:p>
    <w:p>
      <w:pPr>
        <w:pStyle w:val="Heading2"/>
      </w:pPr>
      <w:r>
        <w:t>Computational implementation</w:t>
      </w:r>
    </w:p>
    <w:p>
      <w:r>
        <w:t>All simulations used Python 3.11. The pipeline comprises data_generation.py, methods.py, evaluation.py, run_rsm_ipd_simulation.py, generate_summary.py and the manuscript generator. Results are fully reproducible from the repository.</w:t>
      </w:r>
    </w:p>
    <w:p>
      <w:pPr>
        <w:pStyle w:val="Heading1"/>
      </w:pPr>
      <w:r>
        <w:t>3. Results</w:t>
      </w:r>
    </w:p>
    <w:p>
      <w:pPr>
        <w:pStyle w:val="Heading2"/>
      </w:pPr>
      <w:r>
        <w:t>Primary IPD scenario</w:t>
      </w:r>
    </w:p>
    <w:p>
      <w:r>
        <w:t xml:space="preserve">Table 1 reports the primary IPD scenario (n=2000, 10 studies, K=5). Recovery of the true hidden structure was modest: the Oracle baseline achieved ARI 0.372, whereas the best non-Oracle method (1B_residual) reached ARI 0.032. C1 and W behaved as expected: methods closer to the Oracle had C1 closer to 1 and higher W, while random stratification yielded C1 0.883. </w:t>
      </w:r>
      <m:oMath>
        <m:sSub>
          <m:e>
            <m:r>
              <m:t xml:space="preserve">W</m:t>
            </m:r>
          </m:e>
          <m:sub>
            <m:r>
              <m:t xml:space="preserve">true</m:t>
            </m:r>
          </m:sub>
        </m:sSub>
      </m:oMath>
      <w:r>
        <w:t xml:space="preserve"> exceeded </w:t>
      </w:r>
      <m:oMath>
        <m:sSub>
          <m:e>
            <m:r>
              <m:t xml:space="preserve">W</m:t>
            </m:r>
          </m:e>
          <m:sub>
            <m:r>
              <m:t xml:space="preserve">est</m:t>
            </m:r>
          </m:sub>
        </m:sSub>
      </m:oMath>
      <w:r>
        <w:t xml:space="preserve"> for most methods, reflecting that the estimated CATE model captures only part of the true CATE variation.</w:t>
      </w:r>
    </w:p>
    <w:p>
      <w:r>
        <w:t>The strongest ATE bias reduction was for 1B_residual: crude absolute risk-difference bias 0.01865, stratified 0.01345 (relative 0.279), and DerSimonian-Laird random-effects 0.00816 (relative 0.563). For comparison, random-effects pooling across the true study identifiers (i.e. a study-level meta-analysis) gave an absolute ATE bias of 0.01568 (reduction 0.00296 from crude 0.01865). Random-effects pooling reduced residual bias, showing that stratum-specific effects should be allowed to vary.</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Increasing K beyond the true dimensionality of the hidden structure did not reliably improve ATE bias reduction for data-driven methods; Oracle baselines improved because finer strata better partition the true Z-space. Stratum count should therefore be chosen conservatively and compared across several values rather than simply maximised.</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Comparison with study-level meta-analysis</w:t>
      </w:r>
    </w:p>
    <w:p>
      <w:r>
        <w:t>For comparison, random-effects pooling across the true study identifiers (i.e. a study-level meta-analysis) gave an absolute ATE bias of 0.01568 (reduction 0.00296 from crude 0.01865). This benchmark places the data-driven stratification results in context: even the best discovered strata reduced bias by a similar magnitude to using the true study identifier, but neither fully captures the hidden modifier.</w:t>
      </w:r>
    </w:p>
    <w:p>
      <w:pPr>
        <w:pStyle w:val="Heading2"/>
      </w:pPr>
      <w:r>
        <w:t>Semi-synthetic illustrations</w:t>
      </w:r>
    </w:p>
    <w:p>
      <w:r>
        <w:t>Five published Simpson-paradox examples were reconstructed as pseudo-individual records [13][14][15][16][17]. Table 3 reports the best non-Oracle method per dataset; high ARI occurred only when pseudo-variables strongly correlated with a low-dimensional confounder. These are illustrations, not validation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3. Best semi-synthetic illustration result per dataset (oracle baselines excluded).</w:t>
      </w:r>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Because extended sensitivity used only 10 replications per cell, Monte Carlo SEs are included. Crude bias declined with n; the largest relative reductions for leading methods occurred at n=10 000. The outcome-residual method showed a floor near 0.008-0.009, so its relative reduction decreased with 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influence strength</w:t>
      </w:r>
    </w:p>
    <w:p>
      <w:r>
        <w:t>Supplementary Table S3 reports Z-to-X influence scale = 0.2, 0.5 and 1.0. A stronger covariate trace improved ARI for most methods, but bias-reduction gains were variable at this number of replications; the diagnostics detect statistical traces rather than recover hidden variables perfectly.</w:t>
      </w:r>
    </w:p>
    <w:p>
      <w:pPr>
        <w:pStyle w:val="Heading2"/>
      </w:pPr>
      <w:r>
        <w:t>Sensitivity to Z-to-Y effect strength</w:t>
      </w:r>
    </w:p>
    <w:p>
      <w:r>
        <w:t>Supplementary Table S4 reports Z-to-Y effect scale = 0.5, 1.0 and 2.0. Weak effect modification produced C1/W values near their nulls. As the effect increased, C1 fell, W rose and relative bias reduction improved. The outcome-residual method retained useful relative reduction even at z=0.5, indicating it can exploit moderate covariate traces.</w:t>
      </w:r>
    </w:p>
    <w:p>
      <w:pPr>
        <w:pStyle w:val="Heading2"/>
      </w:pPr>
      <w:r>
        <w:t>Robustness to non-linear Z-to-X mappings</w:t>
      </w:r>
    </w:p>
    <w:p>
      <w:r>
        <w:t>Table 7 compares random-effects bias under linear and non-linear Z-to-X mappings. Effects were method-dependent: outcome-residual and clustering methods improved slightly, propensity-score and GMM changed little, and prognostic score declined modestly. No leading method was dramatically degraded, indicating that the diagnostics remain useful when measured covariates are non-linear functions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0.00057</w:t>
            </w:r>
          </w:p>
        </w:tc>
        <w:tc>
          <w:tcPr>
            <w:tcW w:type="dxa" w:w="960"/>
          </w:tcPr>
          <w:p>
            <w:r>
              <w:t>0.602</w:t>
            </w:r>
          </w:p>
        </w:tc>
        <w:tc>
          <w:tcPr>
            <w:tcW w:type="dxa" w:w="960"/>
          </w:tcPr>
          <w:p>
            <w:r>
              <w:t>0.313</w:t>
            </w:r>
          </w:p>
        </w:tc>
        <w:tc>
          <w:tcPr>
            <w:tcW w:type="dxa" w:w="960"/>
          </w:tcPr>
          <w:p>
            <w:r>
              <w:t>0.00664</w:t>
            </w:r>
          </w:p>
        </w:tc>
        <w:tc>
          <w:tcPr>
            <w:tcW w:type="dxa" w:w="960"/>
          </w:tcPr>
          <w:p>
            <w:r>
              <w:t>0.00083</w:t>
            </w:r>
          </w:p>
        </w:tc>
        <w:tc>
          <w:tcPr>
            <w:tcW w:type="dxa" w:w="960"/>
          </w:tcPr>
          <w:p>
            <w:r>
              <w:t>0.690</w:t>
            </w:r>
          </w:p>
        </w:tc>
        <w:tc>
          <w:tcPr>
            <w:tcW w:type="dxa" w:w="960"/>
          </w:tcPr>
          <w:p>
            <w:r>
              <w:t>0.236</w:t>
            </w:r>
          </w:p>
        </w:tc>
      </w:tr>
      <w:tr>
        <w:tc>
          <w:tcPr>
            <w:tcW w:type="dxa" w:w="960"/>
          </w:tcPr>
          <w:p>
            <w:r>
              <w:t>PS_propensity_score</w:t>
            </w:r>
          </w:p>
        </w:tc>
        <w:tc>
          <w:tcPr>
            <w:tcW w:type="dxa" w:w="960"/>
          </w:tcPr>
          <w:p>
            <w:r>
              <w:t>0.02162</w:t>
            </w:r>
          </w:p>
        </w:tc>
        <w:tc>
          <w:tcPr>
            <w:tcW w:type="dxa" w:w="960"/>
          </w:tcPr>
          <w:p>
            <w:r>
              <w:t>0.00412</w:t>
            </w:r>
          </w:p>
        </w:tc>
        <w:tc>
          <w:tcPr>
            <w:tcW w:type="dxa" w:w="960"/>
          </w:tcPr>
          <w:p>
            <w:r>
              <w:t>-0.011</w:t>
            </w:r>
          </w:p>
        </w:tc>
        <w:tc>
          <w:tcPr>
            <w:tcW w:type="dxa" w:w="960"/>
          </w:tcPr>
          <w:p>
            <w:r>
              <w:t>1.230</w:t>
            </w:r>
          </w:p>
        </w:tc>
        <w:tc>
          <w:tcPr>
            <w:tcW w:type="dxa" w:w="960"/>
          </w:tcPr>
          <w:p>
            <w:r>
              <w:t>0.02084</w:t>
            </w:r>
          </w:p>
        </w:tc>
        <w:tc>
          <w:tcPr>
            <w:tcW w:type="dxa" w:w="960"/>
          </w:tcPr>
          <w:p>
            <w:r>
              <w:t>0.00566</w:t>
            </w:r>
          </w:p>
        </w:tc>
        <w:tc>
          <w:tcPr>
            <w:tcW w:type="dxa" w:w="960"/>
          </w:tcPr>
          <w:p>
            <w:r>
              <w:t>0.027</w:t>
            </w:r>
          </w:p>
        </w:tc>
        <w:tc>
          <w:tcPr>
            <w:tcW w:type="dxa" w:w="960"/>
          </w:tcPr>
          <w:p>
            <w:r>
              <w:t>0.245</w:t>
            </w:r>
          </w:p>
        </w:tc>
      </w:tr>
      <w:tr>
        <w:tc>
          <w:tcPr>
            <w:tcW w:type="dxa" w:w="960"/>
          </w:tcPr>
          <w:p>
            <w:r>
              <w:t>GMM</w:t>
            </w:r>
          </w:p>
        </w:tc>
        <w:tc>
          <w:tcPr>
            <w:tcW w:type="dxa" w:w="960"/>
          </w:tcPr>
          <w:p>
            <w:r>
              <w:t>0.02180</w:t>
            </w:r>
          </w:p>
        </w:tc>
        <w:tc>
          <w:tcPr>
            <w:tcW w:type="dxa" w:w="960"/>
          </w:tcPr>
          <w:p>
            <w:r>
              <w:t>0.00547</w:t>
            </w:r>
          </w:p>
        </w:tc>
        <w:tc>
          <w:tcPr>
            <w:tcW w:type="dxa" w:w="960"/>
          </w:tcPr>
          <w:p>
            <w:r>
              <w:t>-0.020</w:t>
            </w:r>
          </w:p>
        </w:tc>
        <w:tc>
          <w:tcPr>
            <w:tcW w:type="dxa" w:w="960"/>
          </w:tcPr>
          <w:p>
            <w:r>
              <w:t>0.544</w:t>
            </w:r>
          </w:p>
        </w:tc>
        <w:tc>
          <w:tcPr>
            <w:tcW w:type="dxa" w:w="960"/>
          </w:tcPr>
          <w:p>
            <w:r>
              <w:t>0.01746</w:t>
            </w:r>
          </w:p>
        </w:tc>
        <w:tc>
          <w:tcPr>
            <w:tcW w:type="dxa" w:w="960"/>
          </w:tcPr>
          <w:p>
            <w:r>
              <w:t>0.00629</w:t>
            </w:r>
          </w:p>
        </w:tc>
        <w:tc>
          <w:tcPr>
            <w:tcW w:type="dxa" w:w="960"/>
          </w:tcPr>
          <w:p>
            <w:r>
              <w:t>0.185</w:t>
            </w:r>
          </w:p>
        </w:tc>
        <w:tc>
          <w:tcPr>
            <w:tcW w:type="dxa" w:w="960"/>
          </w:tcPr>
          <w:p>
            <w:r>
              <w:t>0.214</w:t>
            </w:r>
          </w:p>
        </w:tc>
      </w:tr>
      <w:tr>
        <w:tc>
          <w:tcPr>
            <w:tcW w:type="dxa" w:w="960"/>
          </w:tcPr>
          <w:p>
            <w:r>
              <w:t>Prognostic_score</w:t>
            </w:r>
          </w:p>
        </w:tc>
        <w:tc>
          <w:tcPr>
            <w:tcW w:type="dxa" w:w="960"/>
          </w:tcPr>
          <w:p>
            <w:r>
              <w:t>0.01536</w:t>
            </w:r>
          </w:p>
        </w:tc>
        <w:tc>
          <w:tcPr>
            <w:tcW w:type="dxa" w:w="960"/>
          </w:tcPr>
          <w:p>
            <w:r>
              <w:t>0.00531</w:t>
            </w:r>
          </w:p>
        </w:tc>
        <w:tc>
          <w:tcPr>
            <w:tcW w:type="dxa" w:w="960"/>
          </w:tcPr>
          <w:p>
            <w:r>
              <w:t>0.281</w:t>
            </w:r>
          </w:p>
        </w:tc>
        <w:tc>
          <w:tcPr>
            <w:tcW w:type="dxa" w:w="960"/>
          </w:tcPr>
          <w:p>
            <w:r>
              <w:t>0.230</w:t>
            </w:r>
          </w:p>
        </w:tc>
        <w:tc>
          <w:tcPr>
            <w:tcW w:type="dxa" w:w="960"/>
          </w:tcPr>
          <w:p>
            <w:r>
              <w:t>0.01762</w:t>
            </w:r>
          </w:p>
        </w:tc>
        <w:tc>
          <w:tcPr>
            <w:tcW w:type="dxa" w:w="960"/>
          </w:tcPr>
          <w:p>
            <w:r>
              <w:t>0.00442</w:t>
            </w:r>
          </w:p>
        </w:tc>
        <w:tc>
          <w:tcPr>
            <w:tcW w:type="dxa" w:w="960"/>
          </w:tcPr>
          <w:p>
            <w:r>
              <w:t>0.178</w:t>
            </w:r>
          </w:p>
        </w:tc>
        <w:tc>
          <w:tcPr>
            <w:tcW w:type="dxa" w:w="960"/>
          </w:tcPr>
          <w:p>
            <w:r>
              <w:t>0.247</w:t>
            </w:r>
          </w:p>
        </w:tc>
      </w:tr>
      <w:tr>
        <w:tc>
          <w:tcPr>
            <w:tcW w:type="dxa" w:w="960"/>
          </w:tcPr>
          <w:p>
            <w:r>
              <w:t>2B_clustering</w:t>
            </w:r>
          </w:p>
        </w:tc>
        <w:tc>
          <w:tcPr>
            <w:tcW w:type="dxa" w:w="960"/>
          </w:tcPr>
          <w:p>
            <w:r>
              <w:t>0.02077</w:t>
            </w:r>
          </w:p>
        </w:tc>
        <w:tc>
          <w:tcPr>
            <w:tcW w:type="dxa" w:w="960"/>
          </w:tcPr>
          <w:p>
            <w:r>
              <w:t>0.00573</w:t>
            </w:r>
          </w:p>
        </w:tc>
        <w:tc>
          <w:tcPr>
            <w:tcW w:type="dxa" w:w="960"/>
          </w:tcPr>
          <w:p>
            <w:r>
              <w:t>0.028</w:t>
            </w:r>
          </w:p>
        </w:tc>
        <w:tc>
          <w:tcPr>
            <w:tcW w:type="dxa" w:w="960"/>
          </w:tcPr>
          <w:p>
            <w:r>
              <w:t>0.514</w:t>
            </w:r>
          </w:p>
        </w:tc>
        <w:tc>
          <w:tcPr>
            <w:tcW w:type="dxa" w:w="960"/>
          </w:tcPr>
          <w:p>
            <w:r>
              <w:t>0.01649</w:t>
            </w:r>
          </w:p>
        </w:tc>
        <w:tc>
          <w:tcPr>
            <w:tcW w:type="dxa" w:w="960"/>
          </w:tcPr>
          <w:p>
            <w:r>
              <w:t>0.00540</w:t>
            </w:r>
          </w:p>
        </w:tc>
        <w:tc>
          <w:tcPr>
            <w:tcW w:type="dxa" w:w="960"/>
          </w:tcPr>
          <w:p>
            <w:r>
              <w:t>0.230</w:t>
            </w:r>
          </w:p>
        </w:tc>
        <w:tc>
          <w:tcPr>
            <w:tcW w:type="dxa" w:w="960"/>
          </w:tcPr>
          <w:p>
            <w:r>
              <w:t>0.182</w:t>
            </w:r>
          </w:p>
        </w:tc>
      </w:tr>
    </w:tbl>
    <w:p>
      <w:pPr>
        <w:spacing w:before="240"/>
      </w:pPr>
      <w:r/>
      <w:r>
        <w:rPr>
          <w:i/>
        </w:rPr>
        <w:t>Table 7. Linear versus non-linear Z-to-X mapping: random-effects ATE bias and relative bias reduction (n=2000, K=5, z=1.0, zx=1.0).</w:t>
      </w:r>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1"/>
      </w:pPr>
      <w:r>
        <w:t>4. Discussion</w:t>
      </w:r>
    </w:p>
    <w:p>
      <w:pPr>
        <w:pStyle w:val="Heading2"/>
      </w:pPr>
      <w:r>
        <w:t>Principal findings</w:t>
      </w:r>
    </w:p>
    <w:p>
      <w:r>
        <w:t>IONE is an exploratory diagnostic for hidden effect modification in IPD meta-analysis. Two findings stand out. First, the coherence diagnostics C1 and W can signal hidden effect modification: methods that captured more true Z structure showed lower C1 and higher W. Second, stratification-based extraction was only conditionally successful: the Oracle baseline achieved ARI 0.372, whereas the best non-Oracle method (1B_residual) reached only 0.032. Despite modest recovery, the best data-driven method reduced crude ATE bias from 0.01865 to 0.00816 on the risk-difference scale (relative reduction 0.563) when stratum-specific estimates were pooled with DerSimonian-Laird. The extra bias reduction from random-effects pooling shows that stratum effects should be allowed to vary once incoherence is flagged.</w:t>
      </w:r>
    </w:p>
    <w:p>
      <w:pPr>
        <w:pStyle w:val="Heading2"/>
      </w:pPr>
      <w:r>
        <w:t>Detection versus extraction</w:t>
      </w:r>
    </w:p>
    <w:p>
      <w:r>
        <w:t>A two-tier interpretation is useful. Detection asks whether the pooled population is incoherent; C1 and W answer this without requiring the analyst to specify hidden subgroups. Extraction attempts to recover those subgroups and estimate stratum-specific effects. Our results show extraction is far harder than detection. IONE's practical value therefore lies mainly in detection and in partial ATE improvement, not in perfect confounding adjustment.</w:t>
      </w:r>
    </w:p>
    <w:p>
      <w:pPr>
        <w:pStyle w:val="Heading2"/>
      </w:pPr>
      <w:r>
        <w:t>Relation to existing methods</w:t>
      </w:r>
    </w:p>
    <w:p>
      <w:r>
        <w:t>Propensity-score and prognostic-score methods adjust for measured confounders [8][10]. High-dimensional propensity scores use proxy variables to improve propensity estimation [18]. Latent class analysis seeks hidden subgroups but relies on strong distributional assumptions [9]. IONE complements these: it is applied before or alongside conventional synthesis, flags incoherence, and then conventional adjustment can be applied within strata.</w:t>
      </w:r>
    </w:p>
    <w:p>
      <w:pPr>
        <w:pStyle w:val="Heading2"/>
      </w:pPr>
      <w:r>
        <w:t>Strengths and limitations</w:t>
      </w:r>
    </w:p>
    <w:p>
      <w:r>
        <w:t xml:space="preserve">Strengths include ADEMP-compliant reporting [7], a transparent pipeline that reads all numbers from repository CSVs, and a data-generating mechanism that mirrors real IPD heterogeneity. Limitations include a single primary sample size and moderate Z-to-X trace (sensitivity analyses varied these); the true-Z partition is an operational construct, so ARI measures agreement with a constructed reference; </w:t>
      </w:r>
      <m:oMath>
        <m:sSub>
          <m:e>
            <m:r>
              <m:t xml:space="preserve">W</m:t>
            </m:r>
          </m:e>
          <m:sub>
            <m:r>
              <m:t xml:space="preserve">est</m:t>
            </m:r>
          </m:sub>
        </m:sSub>
      </m:oMath>
      <w:r>
        <w:t xml:space="preserve"> depends on a correctly specified outcome model; DerSimonian-Laird treats discovered strata as independent studies, which they are not; C1 is computed from log odds ratios while ATE bias is on the risk-difference scale; and the semi-synthetic examples use reconstructed aggregate data, not real individual-level records.</w:t>
      </w:r>
    </w:p>
    <w:p>
      <w:pPr>
        <w:pStyle w:val="Heading2"/>
      </w:pPr>
      <w:r>
        <w:t>Implications for practice</w:t>
      </w:r>
    </w:p>
    <w:p>
      <w:r>
        <w:t xml:space="preserve">We recommend that IPD meta-analysis reports include a coherence assessment. If C1 is low and </w:t>
      </w:r>
      <m:oMath>
        <m:sSub>
          <m:e>
            <m:r>
              <m:t xml:space="preserve">W</m:t>
            </m:r>
          </m:e>
          <m:sub>
            <m:r>
              <m:t xml:space="preserve">est</m:t>
            </m:r>
          </m:sub>
        </m:sSub>
      </m:oMath>
      <w:r>
        <w:t xml:space="preserve"> is small, the marginal effect should be interpreted cautiously and prespecified subgroups, interactions and sensitivity analyses explored. IONE should be reported alongside—not instead of—conventional models and covariate adjustment.</w:t>
      </w:r>
    </w:p>
    <w:p>
      <w:pPr>
        <w:pStyle w:val="Heading2"/>
      </w:pPr>
      <w:r>
        <w:t>Future directions</w:t>
      </w:r>
    </w:p>
    <w:p>
      <w:r>
        <w:t>Extensions include survival outcomes, network meta-analyses, Bayesian hierarchical synthesis for discovered strata, and validation on real individual-level clinical data with measured but withheld effect modifiers.</w:t>
      </w:r>
    </w:p>
    <w:p>
      <w:pPr>
        <w:pStyle w:val="Heading1"/>
      </w:pPr>
      <w:r>
        <w:t>5. Conclusions</w:t>
      </w:r>
    </w:p>
    <w:p>
      <w:r>
        <w:t>IONE (Incoherence-Oriented Neutralisation and Extraction) is an exploratory diagnostic for hidden effect modification in IPD meta-analysis. Monte Carlo simulation and semi-synthetic examples show that IONE can detect incoherence and partially reduce ATE bias when hidden variables leave strong traces in measured covariates.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All code, scripts and semi-synthetic example data are available at https://github.com/bougtoir/ione-stratification-framework. The repository contains a requirements.txt file, fixed random seeds, and generate_summary.py that reproduces the CSV summaries from which the manuscript numbers are drawn. Running generate_summary.py, generate_ione_rsm_v3.py and generate_rsm_tables.py in Python 3.11 regenerates the main manuscript, tables and figures. An archived Zenodo DOI will be obtained before acceptance.</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Supplementary methods, abbreviations, ADEMP/STROBE-Sim checklists, and the four extended sensitivity tables are provided in biostatistics_supplementary_v3.docx.</w:t>
      </w:r>
    </w:p>
    <w:p>
      <w:pPr>
        <w:pStyle w:val="Heading2"/>
      </w:pPr>
      <w:r>
        <w:t>Artificial intelligence</w:t>
      </w:r>
    </w:p>
    <w:p>
      <w:r>
        <w:t>Manuscript text, code and analyses were drafted or revised using OpenAI GPT-4 and GPT-4o (August 2025–August 2026) under the author's direct supervision. The author designed the study, wrote the simulation code, selected references, verified every numerical result, and approved the final scientific content.</w:t>
      </w:r>
    </w:p>
    <w:p>
      <w:r>
        <w:br w:type="page"/>
      </w:r>
    </w:p>
    <w:p>
      <w:pPr>
        <w:pStyle w:val="Heading1"/>
      </w:pPr>
      <w:r>
        <w:t>References</w:t>
      </w:r>
    </w:p>
    <w:p>
      <w:r>
        <w:t>[1] Borenstein M, Hedges LV, Higgins JPT, Rothstein HR. Introduction to Meta-Analysis. Chichester: John Wiley &amp; Sons; 2009.</w:t>
      </w:r>
    </w:p>
    <w:p>
      <w:r>
        <w:t>[2] Riley RD, Lambert PC, Abo-Zaid G. Meta-analysis of individual participant data: rationale, conduct, and reporting. BMJ. 2010;340:c221.</w:t>
      </w:r>
    </w:p>
    <w:p>
      <w:r>
        <w:t>[3] Simmonds MC, Higgins JPT, Stewart LA, Tierney JF, Clarke MJ, Thompson SG. Meta-analysis of individual patient data from randomized trials: a review of methods used in practice. Clin Trials. 2005;2(3):209–217.</w:t>
      </w:r>
    </w:p>
    <w:p>
      <w:r>
        <w:t>[4] Pearl J. Causality. 2nd ed. Cambridge: Cambridge University Press; 2009.</w:t>
      </w:r>
    </w:p>
    <w:p>
      <w:r>
        <w:t>[5] Greenland S, Robins JM, Pearl J. Confounding and collapsibility in causal inference. Stat Sci. 1999;14(1):29–46.</w:t>
      </w:r>
    </w:p>
    <w:p>
      <w:r>
        <w:t>[6] Higgins JPT, Thompson SG. Quantifying heterogeneity in a meta-analysis. Stat Med. 2002;21(11):1539–1558.</w:t>
      </w:r>
    </w:p>
    <w:p>
      <w:r>
        <w:t>[7] Morris TP, White IR, Crowther MJ. Using simulation studies to evaluate statistical methods. Stat Med. 2019;38(11):2074–2102.</w:t>
      </w:r>
    </w:p>
    <w:p>
      <w:r>
        <w:t>[8] Rosenbaum PR, Rubin DB. The central role of the propensity score in observational studies for causal effects. Biometrika. 1983;70(1):41–55.</w:t>
      </w:r>
    </w:p>
    <w:p>
      <w:r>
        <w:t>[9] McLachlan GJ, Peel D. Finite Mixture Models. New York: Wiley; 2000.</w:t>
      </w:r>
    </w:p>
    <w:p>
      <w:r>
        <w:t>[10] Hansen BB. The prognostic analogue of the propensity score. Biometrika. 2008;95(2):481–488.</w:t>
      </w:r>
    </w:p>
    <w:p>
      <w:r>
        <w:t>[11] DerSimonian R, Laird N. Meta-analysis in clinical trials. Control Clin Trials. 1986;7(3):177–188.</w:t>
      </w:r>
    </w:p>
    <w:p>
      <w:r>
        <w:t>[12] Hubert L, Arabie P. Comparing partitions. J Classif. 1985;2(1):193–218.</w:t>
      </w:r>
    </w:p>
    <w:p>
      <w:r>
        <w:t>[13] Charig CR, Webb DR, Payne SR, Wickham JE. Comparison of treatment of renal calculi by open surgery, percutaneous nephrolithotomy, and extracorporeal shockwave lithotripsy. BMJ. 1986;292(6521):879–882.</w:t>
      </w:r>
    </w:p>
    <w:p>
      <w:r>
        <w:t>[14] Bickel PJ, Hammel EA, O'Connell JW. Sex bias in graduate admissions: data from Berkeley. Science. 1975;187(4175):398–404.</w:t>
      </w:r>
    </w:p>
    <w:p>
      <w:r>
        <w:t>[15] von Kügelgen J, Gresele L, Schölkopf B. Simpson's paradox in Covid-19 case fatality rates: a mediation analysis of age-related causal effects. IEEE Trans Artif Intell. 2021;2(1):18–27.</w:t>
      </w:r>
    </w:p>
    <w:p>
      <w:r>
        <w:t>[16] Morris JS. Israeli data: how can efficacy vs. severe disease be strong when 60% of hospitalized are vaccinated? 2021. Available from: https://www.covid-datascience.com/post/israeli-data-how-can-efficacy-vs-severe-disease-be-strong-when-60-of-hospitalized-are-vaccinated</w:t>
      </w:r>
    </w:p>
    <w:p>
      <w:r>
        <w:t>[17] Appleton DR, French NR, Vanderpump MP. Ignoring a covariate: an example of Simpson's paradox. Am Stat. 1996;50(4):340–341.</w:t>
      </w:r>
    </w:p>
    <w:p>
      <w:r>
        <w:t>[18] Schneeweiss S, Rassen JA, Glynn RJ, Avorn J, Mogun H, Brookhart MA. High-dimensional propensity score adjustment in studies of treatment effects using health care claims data. Epidemiology. 2009;20(4):512–522.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