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IONE: Incoherence-Oriented Neutralisation and Extraction for hidden effect modification in individual participant data meta-analysis: a simulation study of stratification-based extraction</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Incoherence-Oriented Neutralisation and Extraction (IONE), an exploratory diagnostic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for hidden effect modification in IPD meta-analyses, to be reported alongside conventional models and covariate adjustment.</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 xml:space="preserve">Meta-analysis combines treatment-effect estimates from related studies [1]. IPD meta-analyses preserve participant-level covariates and can improve power for treatment-covariate interactions [2][3], but standard syntheses still estimate an average effect and may miss unmeasured effect modifiers. When the pooled population mixes subgroups with different treatment effects, a marginal summary can be biased [4][5]. We therefore frame IONE as an exploratory diagnostic that is applied before or alongside a conventional IPD meta-analysis. The term </w:t>
      </w:r>
      <w:r>
        <w:rPr>
          <w:i/>
        </w:rPr>
        <w:t>neutralisation</w:t>
      </w:r>
      <w:r>
        <w:t xml:space="preserve"> means reducing the misleading influence of a marginal summary by extracting coherent subpopulations for separate analysis.</w:t>
      </w:r>
    </w:p>
    <w:p>
      <w:pPr>
        <w:spacing w:line="480" w:lineRule="auto"/>
      </w:pPr>
      <w:r>
        <w:t xml:space="preserve">Several tools already explore heterogeneity in IPD meta-analysis, including subgroup analyses, meta-regression and mixed models with treatment-covariate interactions. These explain heterogeneity through measured covariates and study characteristics, but they do not test whether the pooled participants themselves form homogeneous subpopulations with respect to the treatment effect. As coherence diagnostics we propose C1, derived from the </w:t>
      </w:r>
      <m:oMath>
        <m:sSup>
          <m:e>
            <m:r>
              <m:t xml:space="preserve">I</m:t>
            </m:r>
          </m:e>
          <m:sup>
            <m:r>
              <m:t xml:space="preserve">2</m:t>
            </m:r>
          </m:sup>
        </m:sSup>
      </m:oMath>
      <w:r>
        <w:t xml:space="preserve"> heterogeneity statistic [6] applied to stratum-specific log odds ratios, and W, the proportion of total conditional average treatment effect variance explained by the stratification. C1 signals between-stratum incoherence; W measures within-stratum homogeneity. In a two-stage diagnostic, the analyst first checks C1/W, and if incoherence is indicated, stratifies the pooled IPD and synthesises stratum-specific effects.</w:t>
      </w:r>
    </w:p>
    <w:p>
      <w:pPr>
        <w:pStyle w:val="Heading1"/>
        <w:spacing w:line="480" w:lineRule="auto"/>
      </w:pPr>
      <w:r>
        <w:t>2. Methods</w:t>
      </w:r>
    </w:p>
    <w:p>
      <w:pPr>
        <w:spacing w:line="480" w:lineRule="auto"/>
      </w:pPr>
      <w:r>
        <w:t>This simulation study follows the ADEMP framework [7].</w:t>
      </w:r>
    </w:p>
    <w:p>
      <w:pPr>
        <w:pStyle w:val="Heading2"/>
        <w:spacing w:line="480" w:lineRule="auto"/>
      </w:pPr>
      <w:r>
        <w:t>Aims</w:t>
      </w:r>
    </w:p>
    <w:p>
      <w:pPr>
        <w:pStyle w:val="ListNumber"/>
        <w:spacing w:line="480" w:lineRule="auto"/>
      </w:pPr>
      <w:r>
        <w:t>Evaluate whether stratification of pooled IPD based on measured covariates can recover hidden subgroup structure.</w:t>
      </w:r>
    </w:p>
    <w:p>
      <w:pPr>
        <w:pStyle w:val="ListNumber"/>
        <w:spacing w:line="480" w:lineRule="auto"/>
      </w:pPr>
      <w:r>
        <w:t>Compare outcome-informed IONE methods with outcome-free and established comparators.</w:t>
      </w:r>
    </w:p>
    <w:p>
      <w:pPr>
        <w:pStyle w:val="ListNumber"/>
        <w:spacing w:line="480" w:lineRule="auto"/>
      </w:pPr>
      <w:r>
        <w:t>Assess whether C1 and W diagnose hidden effect modification.</w:t>
      </w:r>
    </w:p>
    <w:p>
      <w:pPr>
        <w:pStyle w:val="ListNumber"/>
        <w:spacing w:line="480" w:lineRule="auto"/>
      </w:pPr>
      <w:r>
        <w:t>Quantify ATE bias reduction from fixed-effect and DerSimonian-Laird random-effects synthesis of stratum-specific risk differences.</w:t>
      </w:r>
    </w:p>
    <w:p>
      <w:pPr>
        <w:pStyle w:val="ListNumber"/>
        <w:spacing w:line="480" w:lineRule="auto"/>
      </w:pPr>
      <w:r>
        <w:t>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Study-level variation in baseline risk, treatment prevalence and a continuous age-like covariate was controlled by a scale parameter of 0.6.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true estimand was the population risk-difference ATE. Full algebraic details are in Additional file 1; all scenarios used fixed random seeds.</w:t>
      </w:r>
    </w:p>
    <w:p>
      <w:pPr>
        <w:spacing w:line="480" w:lineRule="auto"/>
      </w:pPr>
      <w:r>
        <w:t>The primary scenario used n=2000 participants, 10 studies and K=5 strata. We also varied K (3, 5, 10), sample size (500, 2000, 10 000), Z-to-Y effect scale (0.5, 1.0, 2.0), Z-to-X influence scale (0.2, 0.5, 1.0), and introduced a non-linear Z-to-X mapping (quadratic and log-normal). The primary and strata-sensitivity scenarios used 50 replications; the extended robustness scenarios used 10 replications.</w:t>
      </w:r>
    </w:p>
    <w:p>
      <w:pPr>
        <w:pStyle w:val="Heading2"/>
        <w:spacing w:line="480" w:lineRule="auto"/>
      </w:pPr>
      <w:r>
        <w:t>Stratification methods</w:t>
      </w:r>
    </w:p>
    <w:p>
      <w:pPr>
        <w:spacing w:line="480" w:lineRule="auto"/>
      </w:pPr>
      <w:r/>
      <w:r>
        <w:rPr>
          <w:b/>
        </w:rPr>
        <w:t>Proposed Family 1 (outcome-informed).</w:t>
      </w:r>
      <w:r/>
    </w:p>
    <w:p>
      <w:pPr>
        <w:pStyle w:val="ListBullet"/>
        <w:spacing w:line="480" w:lineRule="auto"/>
      </w:pPr>
      <w:r/>
      <w:r>
        <w:rPr>
          <w:b/>
        </w:rPr>
        <w:t>Method 1A (Predicted probability):</w:t>
      </w:r>
      <w:r>
        <w:t xml:space="preserve"> logistic regression of Y on X; stratify by quantiles of the predicted probability </w:t>
      </w:r>
      <m:oMath>
        <m:acc>
          <m:accPr>
            <m:chr m:val="^"/>
          </m:accPr>
          <m:e>
            <m:r>
              <m:t xml:space="preserve">p</m:t>
            </m:r>
          </m:e>
        </m:acc>
      </m:oMath>
      <w:r>
        <w:t xml:space="preserve">.</w:t>
      </w:r>
    </w:p>
    <w:p>
      <w:pPr>
        <w:pStyle w:val="ListBullet"/>
        <w:spacing w:line="480" w:lineRule="auto"/>
      </w:pPr>
      <w:r/>
      <w:r>
        <w:rPr>
          <w:b/>
        </w:rPr>
        <w:t>Method 1B (Residual):</w:t>
      </w:r>
      <w:r>
        <w:t xml:space="preserve"> stratify by quantiles of </w:t>
      </w:r>
      <m:oMath>
        <m:r>
          <m:t xml:space="preserve">|Y - </m:t>
        </m:r>
        <m:acc>
          <m:accPr>
            <m:chr m:val="^"/>
          </m:accPr>
          <m:e>
            <m:r>
              <m:t xml:space="preserve">p</m:t>
            </m:r>
          </m:e>
        </m:acc>
        <m:r>
          <m:t xml:space="preserve">|</m:t>
        </m:r>
      </m:oMath>
      <w:r>
        <w:t xml:space="preserve"> from the same model.</w:t>
      </w:r>
    </w:p>
    <w:p>
      <w:pPr>
        <w:pStyle w:val="ListBullet"/>
        <w:spacing w:line="480" w:lineRule="auto"/>
      </w:pPr>
      <w:r/>
      <w:r>
        <w:rPr>
          <w:b/>
        </w:rPr>
        <w:t>Method 1C (Cross-validated):</w:t>
      </w:r>
      <w:r>
        <w:t xml:space="preserve"> K-fold cross-validated predictions before stratification.</w:t>
      </w:r>
    </w:p>
    <w:p>
      <w:pPr>
        <w:spacing w:line="480" w:lineRule="auto"/>
      </w:pPr>
      <w:r/>
      <w:r>
        <w:rPr>
          <w:b/>
        </w:rPr>
        <w:t>Proposed Family 2 (outcome-free).</w:t>
      </w:r>
      <w:r/>
    </w:p>
    <w:p>
      <w:pPr>
        <w:pStyle w:val="ListBullet"/>
        <w:spacing w:line="480" w:lineRule="auto"/>
      </w:pPr>
      <w:r/>
      <w:r>
        <w:rPr>
          <w:b/>
        </w:rPr>
        <w:t>Method 2A (PCA):</w:t>
      </w:r>
      <w:r>
        <w:t xml:space="preserve"> PC1 of standardised X, stratified by quantiles.</w:t>
      </w:r>
    </w:p>
    <w:p>
      <w:pPr>
        <w:pStyle w:val="ListBullet"/>
        <w:spacing w:line="480" w:lineRule="auto"/>
      </w:pPr>
      <w:r/>
      <w:r>
        <w:rPr>
          <w:b/>
        </w:rPr>
        <w:t>Method 2B (Clustering):</w:t>
      </w:r>
      <w:r>
        <w:t xml:space="preserve"> K-means on standardised X with K clusters.</w:t>
      </w:r>
    </w:p>
    <w:p>
      <w:pPr>
        <w:spacing w:line="480" w:lineRule="auto"/>
      </w:pPr>
      <w:r/>
      <w:r>
        <w:rPr>
          <w:b/>
        </w:rPr>
        <w:t>Comparators and baselines.</w:t>
      </w:r>
      <w:r/>
    </w:p>
    <w:p>
      <w:pPr>
        <w:pStyle w:val="ListBullet"/>
        <w:spacing w:line="480" w:lineRule="auto"/>
      </w:pPr>
      <w:r>
        <w:t>Propensity-score quintiles [8], Gaussian mixture model on X [9], prognostic-score stratification using untreated-only Y~X [10]. Oracle baselines stratify by true Z-space; random assignment provides a chance reference.</w:t>
      </w:r>
    </w:p>
    <w:p>
      <w:pPr>
        <w:spacing w:line="480" w:lineRule="auto"/>
      </w:pPr>
      <w:r>
        <w:t>All quantile methods used equal-frequency strata. Logistic regression used l2 regularisation (C=1.0, lbfgs). Outcome-informed methods used a 50/50 discovery/evaluation split; outcome-free methods used the full sample.</w:t>
      </w:r>
    </w:p>
    <w:p>
      <w:pPr>
        <w:pStyle w:val="Heading2"/>
        <w:spacing w:line="480" w:lineRule="auto"/>
      </w:pPr>
      <w:r>
        <w:t>Synthesis of stratum-specific effects</w:t>
      </w:r>
    </w:p>
    <w:p>
      <w:pPr>
        <w:spacing w:line="480" w:lineRule="auto"/>
      </w:pPr>
      <w:r>
        <w:t xml:space="preserve">Within each stratum we computed the risk difference </w:t>
      </w:r>
      <m:oMath>
        <m:r>
          <m:t xml:space="preserve">P(Y=1|A=1) - P(Y=1|A=0)</m:t>
        </m:r>
      </m:oMath>
      <w:r>
        <w:t xml:space="preserve">. A two-stage fixed-effect summary weighted strata by size; a DerSimonian-Laird random-effects summary estimated between-stratum variance [11]. </w:t>
      </w:r>
      <w:r>
        <w:rPr>
          <w:i/>
        </w:rPr>
        <w:t>Neutralisation</w:t>
      </w:r>
      <w:r>
        <w:t xml:space="preserve"> means reducing the misleading influence of a marginal summary by extracting coherent subpopulations. Two caveats apply: discovered strata are not independent study estimates, and C1 is computed from log odds ratios while ATE bias is on the risk-difference scale, so C1 is an indirect diagnostic.</w:t>
      </w:r>
    </w:p>
    <w:p>
      <w:pPr>
        <w:pStyle w:val="Heading2"/>
        <w:spacing w:line="480" w:lineRule="auto"/>
      </w:pPr>
      <w:r>
        <w:t>Evaluation metrics</w:t>
      </w:r>
    </w:p>
    <w:p>
      <w:pPr>
        <w:pStyle w:val="ListBullet"/>
        <w:spacing w:line="480" w:lineRule="auto"/>
      </w:pPr>
      <w:r/>
      <w:r>
        <w:rPr>
          <w:b/>
        </w:rPr>
        <w:t>ARI</w:t>
      </w:r>
      <w:r>
        <w:t xml:space="preserve"> [12]: agreement between estimated strata and a true-Z partition, corrected for chance.</w:t>
      </w:r>
    </w:p>
    <w:p>
      <w:pPr>
        <w:pStyle w:val="ListBullet"/>
        <w:spacing w:line="480" w:lineRule="auto"/>
      </w:pPr>
      <w:r/>
      <w:r>
        <w:rPr>
          <w:b/>
        </w:rPr>
        <w:t>C1</w:t>
      </w:r>
      <w:r>
        <w:t xml:space="preserve"> = 1 - </w:t>
      </w:r>
      <m:oMath>
        <m:sSup>
          <m:e>
            <m:r>
              <m:t xml:space="preserve">I</m:t>
            </m:r>
          </m:e>
          <m:sup>
            <m:r>
              <m:t xml:space="preserve">2</m:t>
            </m:r>
          </m:sup>
        </m:sSup>
      </m:oMath>
      <w:r>
        <w:t xml:space="preserve"> applied to stratum-specific log odds ratios [6]; lower C1 indicates stronger between-stratum heterogeneity.</w:t>
      </w:r>
    </w:p>
    <w:p>
      <w:pPr>
        <w:pStyle w:val="ListBullet"/>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is operational in real data but requires a correctly specified outcome model.</w:t>
      </w:r>
    </w:p>
    <w:p>
      <w:pPr>
        <w:pStyle w:val="ListBullet"/>
        <w:spacing w:line="480" w:lineRule="auto"/>
      </w:pPr>
      <w:r/>
      <w:r>
        <w:rPr>
          <w:b/>
        </w:rPr>
        <w:t>ATE bias reduction:</w:t>
      </w:r>
      <w:r>
        <w:t xml:space="preserve"> absolute differences between crude, stratified and random-effects estimates, plus relative ratios.</w:t>
      </w:r>
    </w:p>
    <w:p>
      <w:pPr>
        <w:pStyle w:val="ListBullet"/>
        <w:spacing w:line="480" w:lineRule="auto"/>
      </w:pPr>
      <w:r>
        <w:t>Monte Carlo SE and 95% CI for every mean.</w:t>
      </w:r>
    </w:p>
    <w:p>
      <w:pPr>
        <w:spacing w:line="480" w:lineRule="auto"/>
      </w:pPr>
      <w:r>
        <w:t>The true-Z partition is a k-means clustering of the standardised Z-space with K strata. ARI therefore measures agreement with a constructed reference.</w:t>
      </w:r>
    </w:p>
    <w:p>
      <w:pPr>
        <w:pStyle w:val="Heading2"/>
        <w:spacing w:line="480" w:lineRule="auto"/>
      </w:pPr>
      <w:r>
        <w:t>Semi-synthetic illustrations</w:t>
      </w:r>
    </w:p>
    <w:p>
      <w:pPr>
        <w:spacing w:line="480" w:lineRule="auto"/>
      </w:pPr>
      <w:r>
        <w:t>Five well-known Simpson-paradox examples were reconstructed as pseudo-individual records from published aggregate statistics [13][14][15][16][17]. For each example, pseudo-general variables mimicked proxies of the known confounder and the same IONE methods were applied. The candidate number of strata was selected a priori from {2, 3, min(K_true,4), K_true} and K was chosen as the value maximising ARI within this set. These examples illustrate favourable and unfavourable settings for stratification; they are not validation in real IPD.</w:t>
      </w:r>
    </w:p>
    <w:p>
      <w:pPr>
        <w:pStyle w:val="Heading2"/>
        <w:spacing w:line="480" w:lineRule="auto"/>
      </w:pPr>
      <w:r>
        <w:t>Reporting and reproducibility</w:t>
      </w:r>
    </w:p>
    <w:p>
      <w:pPr>
        <w:spacing w:line="480" w:lineRule="auto"/>
      </w:pPr>
      <w:r>
        <w:t>The design followed ADEMP [7]; checklists are in Additional files 2 and 3. The pipeline is version-controlled; every manuscript number is read from repository CSV outputs. Code and data are at https://github.com/bougtoir/ione-stratification-framework.</w:t>
      </w:r>
    </w:p>
    <w:p>
      <w:pPr>
        <w:pStyle w:val="Heading2"/>
        <w:spacing w:line="480" w:lineRule="auto"/>
      </w:pPr>
      <w:r>
        <w:t>Computational implementation</w:t>
      </w:r>
    </w:p>
    <w:p>
      <w:pPr>
        <w:spacing w:line="480" w:lineRule="auto"/>
      </w:pPr>
      <w:r>
        <w:t>All simulations used Python 3.11. The pipeline comprises data_generation.py, methods.py, evaluation.py, run_rsm_ipd_simulation.py, generate_summary.py and the manuscript generator. Results are fully reproducible from the repository.</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IPD scenario (n=2000, 10 studies, K=5). Recovery of the true hidden structure was modest: the Oracle baseline achieved ARI 0.372, whereas the best non-Oracle method (1B_residual) reached ARI 0.032. C1 and W behaved as expected: methods closer to the Oracle had C1 closer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for most methods, reflecting that the estimated CATE model captures only part of the true CATE variation.</w:t>
      </w:r>
    </w:p>
    <w:p>
      <w:pPr>
        <w:spacing w:line="480" w:lineRule="auto"/>
      </w:pPr>
      <w:r>
        <w:t>The strongest ATE bias reduction was for 1B_residual: crude absolute risk-difference bias 0.01865, stratified 0.01345 (relative 0.279), and DerSimonian-Laird random-effects 0.00816 (relative 0.563). For comparison, random-effects pooling across the true study identifiers (i.e. a study-level meta-analysis) gave an absolute ATE bias of 0.01568 (reduction 0.00296 from crude 0.01865). Random-effects pooling reduced residual bias,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Increasing K beyond the true dimensionality of the hidden structure did not reliably improve ATE bias reduction for data-driven methods; Oracle baselines improved because finer strata better partition the true Z-space. Stratum count should therefore be chosen conservatively and compared across several values rather than simply maximised.</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Comparison with study-level meta-analysis</w:t>
      </w:r>
    </w:p>
    <w:p>
      <w:pPr>
        <w:spacing w:line="480" w:lineRule="auto"/>
      </w:pPr>
      <w:r>
        <w:t>For comparison, random-effects pooling across the true study identifiers (i.e. a study-level meta-analysis) gave an absolute ATE bias of 0.01568 (reduction 0.00296 from crude 0.01865). This benchmark places the data-driven stratification results in context: even the best discovered strata reduced bias by a similar magnitude to using the true study identifier, but neither fully captures the hidden modifier.</w:t>
      </w:r>
    </w:p>
    <w:p>
      <w:pPr>
        <w:pStyle w:val="Heading2"/>
        <w:spacing w:line="480" w:lineRule="auto"/>
      </w:pPr>
      <w:r>
        <w:t>Semi-synthetic illustrations</w:t>
      </w:r>
    </w:p>
    <w:p>
      <w:pPr>
        <w:spacing w:line="480" w:lineRule="auto"/>
      </w:pPr>
      <w:r>
        <w:t>Five published Simpson-paradox examples were reconstructed as pseudo-individual records [13][14][15][16][17]. Table 3 reports the best non-Oracle method per dataset; high ARI occurred only when pseudo-variables strongly correlated with a low-dimensional confounder. These are illustrations, not validation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0.746</w:t>
            </w:r>
          </w:p>
        </w:tc>
        <w:tc>
          <w:tcPr>
            <w:tcW w:type="dxa" w:w="1234"/>
          </w:tcPr>
          <w:p>
            <w:pPr>
              <w:spacing w:line="276" w:lineRule="auto"/>
            </w:pPr>
            <w:r>
              <w:t>0.048</w:t>
            </w:r>
          </w:p>
        </w:tc>
        <w:tc>
          <w:tcPr>
            <w:tcW w:type="dxa" w:w="1234"/>
          </w:tcPr>
          <w:p>
            <w:pPr>
              <w:spacing w:line="276" w:lineRule="auto"/>
            </w:pPr>
            <w:r>
              <w:t>0.289</w:t>
            </w:r>
          </w:p>
        </w:tc>
        <w:tc>
          <w:tcPr>
            <w:tcW w:type="dxa" w:w="1234"/>
          </w:tcPr>
          <w:p>
            <w:pPr>
              <w:spacing w:line="276" w:lineRule="auto"/>
            </w:pPr>
            <w:r>
              <w:t>0.011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3. Best semi-synthetic illustration result per dataset (oracle baselines excluded).</w:t>
      </w:r>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Because extended sensitivity used only 10 replications per cell, Monte Carlo SEs are included. Crude bias declined with n; the largest relative reductions for leading methods occurred at n=10 000.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influence strength</w:t>
      </w:r>
    </w:p>
    <w:p>
      <w:pPr>
        <w:spacing w:line="480" w:lineRule="auto"/>
      </w:pPr>
      <w:r>
        <w:t>Supplementary Table S3 reports Z-to-X influence scale = 0.2, 0.5 and 1.0. A stronger covariate trace improved ARI for most methods, but bias-reduction gains were variable at this number of replications; the diagnostics detect statistical traces rather than recover hidden variables perfectly.</w:t>
      </w:r>
    </w:p>
    <w:p>
      <w:pPr>
        <w:pStyle w:val="Heading2"/>
        <w:spacing w:line="480" w:lineRule="auto"/>
      </w:pPr>
      <w:r>
        <w:t>Sensitivity to Z-to-Y effect strength</w:t>
      </w:r>
    </w:p>
    <w:p>
      <w:pPr>
        <w:spacing w:line="480" w:lineRule="auto"/>
      </w:pPr>
      <w:r>
        <w:t>Supplementary Table S4 reports Z-to-Y effect scale = 0.5, 1.0 and 2.0. Weak effect modification produced C1/W values near their nulls. As the effect increased, C1 fell, W rose and relative bias reduction improved. The outcome-residual method retained useful relative reduction even at z=0.5, indicating it can exploit moderate covariate traces.</w:t>
      </w:r>
    </w:p>
    <w:p>
      <w:pPr>
        <w:pStyle w:val="Heading2"/>
        <w:spacing w:line="480" w:lineRule="auto"/>
      </w:pPr>
      <w:r>
        <w:t>Robustness to non-linear Z-to-X mappings</w:t>
      </w:r>
    </w:p>
    <w:p>
      <w:pPr>
        <w:spacing w:line="480" w:lineRule="auto"/>
      </w:pPr>
      <w:r>
        <w:t>Table 7 compares random-effects bias under linear and non-linear Z-to-X mappings. Effects were method-dependent: outcome-residual and clustering methods improved slightly, propensity-score and GMM changed little, and prognostic score declined modestly. No leading method was dramatically degraded, indicating that the diagnostics remain useful when measured covariates are non-linear functions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0.00057</w:t>
            </w:r>
          </w:p>
        </w:tc>
        <w:tc>
          <w:tcPr>
            <w:tcW w:type="dxa" w:w="960"/>
          </w:tcPr>
          <w:p>
            <w:pPr>
              <w:spacing w:line="276" w:lineRule="auto"/>
            </w:pPr>
            <w:r>
              <w:t>0.602</w:t>
            </w:r>
          </w:p>
        </w:tc>
        <w:tc>
          <w:tcPr>
            <w:tcW w:type="dxa" w:w="960"/>
          </w:tcPr>
          <w:p>
            <w:pPr>
              <w:spacing w:line="276" w:lineRule="auto"/>
            </w:pPr>
            <w:r>
              <w:t>0.313</w:t>
            </w:r>
          </w:p>
        </w:tc>
        <w:tc>
          <w:tcPr>
            <w:tcW w:type="dxa" w:w="960"/>
          </w:tcPr>
          <w:p>
            <w:pPr>
              <w:spacing w:line="276" w:lineRule="auto"/>
            </w:pPr>
            <w:r>
              <w:t>0.00664</w:t>
            </w:r>
          </w:p>
        </w:tc>
        <w:tc>
          <w:tcPr>
            <w:tcW w:type="dxa" w:w="960"/>
          </w:tcPr>
          <w:p>
            <w:pPr>
              <w:spacing w:line="276" w:lineRule="auto"/>
            </w:pPr>
            <w:r>
              <w:t>0.00083</w:t>
            </w:r>
          </w:p>
        </w:tc>
        <w:tc>
          <w:tcPr>
            <w:tcW w:type="dxa" w:w="960"/>
          </w:tcPr>
          <w:p>
            <w:pPr>
              <w:spacing w:line="276" w:lineRule="auto"/>
            </w:pPr>
            <w:r>
              <w:t>0.690</w:t>
            </w:r>
          </w:p>
        </w:tc>
        <w:tc>
          <w:tcPr>
            <w:tcW w:type="dxa" w:w="960"/>
          </w:tcPr>
          <w:p>
            <w:pPr>
              <w:spacing w:line="276" w:lineRule="auto"/>
            </w:pPr>
            <w:r>
              <w:t>0.236</w:t>
            </w:r>
          </w:p>
        </w:tc>
      </w:tr>
      <w:tr>
        <w:tc>
          <w:tcPr>
            <w:tcW w:type="dxa" w:w="960"/>
          </w:tcPr>
          <w:p>
            <w:pPr>
              <w:spacing w:line="276" w:lineRule="auto"/>
            </w:pPr>
            <w:r>
              <w:t>PS_propensity_score</w:t>
            </w:r>
          </w:p>
        </w:tc>
        <w:tc>
          <w:tcPr>
            <w:tcW w:type="dxa" w:w="960"/>
          </w:tcPr>
          <w:p>
            <w:pPr>
              <w:spacing w:line="276" w:lineRule="auto"/>
            </w:pPr>
            <w:r>
              <w:t>0.02162</w:t>
            </w:r>
          </w:p>
        </w:tc>
        <w:tc>
          <w:tcPr>
            <w:tcW w:type="dxa" w:w="960"/>
          </w:tcPr>
          <w:p>
            <w:pPr>
              <w:spacing w:line="276" w:lineRule="auto"/>
            </w:pPr>
            <w:r>
              <w:t>0.00412</w:t>
            </w:r>
          </w:p>
        </w:tc>
        <w:tc>
          <w:tcPr>
            <w:tcW w:type="dxa" w:w="960"/>
          </w:tcPr>
          <w:p>
            <w:pPr>
              <w:spacing w:line="276" w:lineRule="auto"/>
            </w:pPr>
            <w:r>
              <w:t>-0.011</w:t>
            </w:r>
          </w:p>
        </w:tc>
        <w:tc>
          <w:tcPr>
            <w:tcW w:type="dxa" w:w="960"/>
          </w:tcPr>
          <w:p>
            <w:pPr>
              <w:spacing w:line="276" w:lineRule="auto"/>
            </w:pPr>
            <w:r>
              <w:t>1.230</w:t>
            </w:r>
          </w:p>
        </w:tc>
        <w:tc>
          <w:tcPr>
            <w:tcW w:type="dxa" w:w="960"/>
          </w:tcPr>
          <w:p>
            <w:pPr>
              <w:spacing w:line="276" w:lineRule="auto"/>
            </w:pPr>
            <w:r>
              <w:t>0.02084</w:t>
            </w:r>
          </w:p>
        </w:tc>
        <w:tc>
          <w:tcPr>
            <w:tcW w:type="dxa" w:w="960"/>
          </w:tcPr>
          <w:p>
            <w:pPr>
              <w:spacing w:line="276" w:lineRule="auto"/>
            </w:pPr>
            <w:r>
              <w:t>0.00566</w:t>
            </w:r>
          </w:p>
        </w:tc>
        <w:tc>
          <w:tcPr>
            <w:tcW w:type="dxa" w:w="960"/>
          </w:tcPr>
          <w:p>
            <w:pPr>
              <w:spacing w:line="276" w:lineRule="auto"/>
            </w:pPr>
            <w:r>
              <w:t>0.027</w:t>
            </w:r>
          </w:p>
        </w:tc>
        <w:tc>
          <w:tcPr>
            <w:tcW w:type="dxa" w:w="960"/>
          </w:tcPr>
          <w:p>
            <w:pPr>
              <w:spacing w:line="276" w:lineRule="auto"/>
            </w:pPr>
            <w:r>
              <w:t>0.245</w:t>
            </w:r>
          </w:p>
        </w:tc>
      </w:tr>
      <w:tr>
        <w:tc>
          <w:tcPr>
            <w:tcW w:type="dxa" w:w="960"/>
          </w:tcPr>
          <w:p>
            <w:pPr>
              <w:spacing w:line="276" w:lineRule="auto"/>
            </w:pPr>
            <w:r>
              <w:t>GMM</w:t>
            </w:r>
          </w:p>
        </w:tc>
        <w:tc>
          <w:tcPr>
            <w:tcW w:type="dxa" w:w="960"/>
          </w:tcPr>
          <w:p>
            <w:pPr>
              <w:spacing w:line="276" w:lineRule="auto"/>
            </w:pPr>
            <w:r>
              <w:t>0.02180</w:t>
            </w:r>
          </w:p>
        </w:tc>
        <w:tc>
          <w:tcPr>
            <w:tcW w:type="dxa" w:w="960"/>
          </w:tcPr>
          <w:p>
            <w:pPr>
              <w:spacing w:line="276" w:lineRule="auto"/>
            </w:pPr>
            <w:r>
              <w:t>0.00547</w:t>
            </w:r>
          </w:p>
        </w:tc>
        <w:tc>
          <w:tcPr>
            <w:tcW w:type="dxa" w:w="960"/>
          </w:tcPr>
          <w:p>
            <w:pPr>
              <w:spacing w:line="276" w:lineRule="auto"/>
            </w:pPr>
            <w:r>
              <w:t>-0.020</w:t>
            </w:r>
          </w:p>
        </w:tc>
        <w:tc>
          <w:tcPr>
            <w:tcW w:type="dxa" w:w="960"/>
          </w:tcPr>
          <w:p>
            <w:pPr>
              <w:spacing w:line="276" w:lineRule="auto"/>
            </w:pPr>
            <w:r>
              <w:t>0.544</w:t>
            </w:r>
          </w:p>
        </w:tc>
        <w:tc>
          <w:tcPr>
            <w:tcW w:type="dxa" w:w="960"/>
          </w:tcPr>
          <w:p>
            <w:pPr>
              <w:spacing w:line="276" w:lineRule="auto"/>
            </w:pPr>
            <w:r>
              <w:t>0.01746</w:t>
            </w:r>
          </w:p>
        </w:tc>
        <w:tc>
          <w:tcPr>
            <w:tcW w:type="dxa" w:w="960"/>
          </w:tcPr>
          <w:p>
            <w:pPr>
              <w:spacing w:line="276" w:lineRule="auto"/>
            </w:pPr>
            <w:r>
              <w:t>0.00629</w:t>
            </w:r>
          </w:p>
        </w:tc>
        <w:tc>
          <w:tcPr>
            <w:tcW w:type="dxa" w:w="960"/>
          </w:tcPr>
          <w:p>
            <w:pPr>
              <w:spacing w:line="276" w:lineRule="auto"/>
            </w:pPr>
            <w:r>
              <w:t>0.185</w:t>
            </w:r>
          </w:p>
        </w:tc>
        <w:tc>
          <w:tcPr>
            <w:tcW w:type="dxa" w:w="960"/>
          </w:tcPr>
          <w:p>
            <w:pPr>
              <w:spacing w:line="276" w:lineRule="auto"/>
            </w:pPr>
            <w:r>
              <w:t>0.214</w:t>
            </w:r>
          </w:p>
        </w:tc>
      </w:tr>
      <w:tr>
        <w:tc>
          <w:tcPr>
            <w:tcW w:type="dxa" w:w="960"/>
          </w:tcPr>
          <w:p>
            <w:pPr>
              <w:spacing w:line="276" w:lineRule="auto"/>
            </w:pPr>
            <w:r>
              <w:t>Prognostic_score</w:t>
            </w:r>
          </w:p>
        </w:tc>
        <w:tc>
          <w:tcPr>
            <w:tcW w:type="dxa" w:w="960"/>
          </w:tcPr>
          <w:p>
            <w:pPr>
              <w:spacing w:line="276" w:lineRule="auto"/>
            </w:pPr>
            <w:r>
              <w:t>0.01536</w:t>
            </w:r>
          </w:p>
        </w:tc>
        <w:tc>
          <w:tcPr>
            <w:tcW w:type="dxa" w:w="960"/>
          </w:tcPr>
          <w:p>
            <w:pPr>
              <w:spacing w:line="276" w:lineRule="auto"/>
            </w:pPr>
            <w:r>
              <w:t>0.00531</w:t>
            </w:r>
          </w:p>
        </w:tc>
        <w:tc>
          <w:tcPr>
            <w:tcW w:type="dxa" w:w="960"/>
          </w:tcPr>
          <w:p>
            <w:pPr>
              <w:spacing w:line="276" w:lineRule="auto"/>
            </w:pPr>
            <w:r>
              <w:t>0.281</w:t>
            </w:r>
          </w:p>
        </w:tc>
        <w:tc>
          <w:tcPr>
            <w:tcW w:type="dxa" w:w="960"/>
          </w:tcPr>
          <w:p>
            <w:pPr>
              <w:spacing w:line="276" w:lineRule="auto"/>
            </w:pPr>
            <w:r>
              <w:t>0.230</w:t>
            </w:r>
          </w:p>
        </w:tc>
        <w:tc>
          <w:tcPr>
            <w:tcW w:type="dxa" w:w="960"/>
          </w:tcPr>
          <w:p>
            <w:pPr>
              <w:spacing w:line="276" w:lineRule="auto"/>
            </w:pPr>
            <w:r>
              <w:t>0.01762</w:t>
            </w:r>
          </w:p>
        </w:tc>
        <w:tc>
          <w:tcPr>
            <w:tcW w:type="dxa" w:w="960"/>
          </w:tcPr>
          <w:p>
            <w:pPr>
              <w:spacing w:line="276" w:lineRule="auto"/>
            </w:pPr>
            <w:r>
              <w:t>0.00442</w:t>
            </w:r>
          </w:p>
        </w:tc>
        <w:tc>
          <w:tcPr>
            <w:tcW w:type="dxa" w:w="960"/>
          </w:tcPr>
          <w:p>
            <w:pPr>
              <w:spacing w:line="276" w:lineRule="auto"/>
            </w:pPr>
            <w:r>
              <w:t>0.178</w:t>
            </w:r>
          </w:p>
        </w:tc>
        <w:tc>
          <w:tcPr>
            <w:tcW w:type="dxa" w:w="960"/>
          </w:tcPr>
          <w:p>
            <w:pPr>
              <w:spacing w:line="276" w:lineRule="auto"/>
            </w:pPr>
            <w:r>
              <w:t>0.247</w:t>
            </w:r>
          </w:p>
        </w:tc>
      </w:tr>
      <w:tr>
        <w:tc>
          <w:tcPr>
            <w:tcW w:type="dxa" w:w="960"/>
          </w:tcPr>
          <w:p>
            <w:pPr>
              <w:spacing w:line="276" w:lineRule="auto"/>
            </w:pPr>
            <w:r>
              <w:t>2B_clustering</w:t>
            </w:r>
          </w:p>
        </w:tc>
        <w:tc>
          <w:tcPr>
            <w:tcW w:type="dxa" w:w="960"/>
          </w:tcPr>
          <w:p>
            <w:pPr>
              <w:spacing w:line="276" w:lineRule="auto"/>
            </w:pPr>
            <w:r>
              <w:t>0.02077</w:t>
            </w:r>
          </w:p>
        </w:tc>
        <w:tc>
          <w:tcPr>
            <w:tcW w:type="dxa" w:w="960"/>
          </w:tcPr>
          <w:p>
            <w:pPr>
              <w:spacing w:line="276" w:lineRule="auto"/>
            </w:pPr>
            <w:r>
              <w:t>0.00573</w:t>
            </w:r>
          </w:p>
        </w:tc>
        <w:tc>
          <w:tcPr>
            <w:tcW w:type="dxa" w:w="960"/>
          </w:tcPr>
          <w:p>
            <w:pPr>
              <w:spacing w:line="276" w:lineRule="auto"/>
            </w:pPr>
            <w:r>
              <w:t>0.028</w:t>
            </w:r>
          </w:p>
        </w:tc>
        <w:tc>
          <w:tcPr>
            <w:tcW w:type="dxa" w:w="960"/>
          </w:tcPr>
          <w:p>
            <w:pPr>
              <w:spacing w:line="276" w:lineRule="auto"/>
            </w:pPr>
            <w:r>
              <w:t>0.514</w:t>
            </w:r>
          </w:p>
        </w:tc>
        <w:tc>
          <w:tcPr>
            <w:tcW w:type="dxa" w:w="960"/>
          </w:tcPr>
          <w:p>
            <w:pPr>
              <w:spacing w:line="276" w:lineRule="auto"/>
            </w:pPr>
            <w:r>
              <w:t>0.01649</w:t>
            </w:r>
          </w:p>
        </w:tc>
        <w:tc>
          <w:tcPr>
            <w:tcW w:type="dxa" w:w="960"/>
          </w:tcPr>
          <w:p>
            <w:pPr>
              <w:spacing w:line="276" w:lineRule="auto"/>
            </w:pPr>
            <w:r>
              <w:t>0.00540</w:t>
            </w:r>
          </w:p>
        </w:tc>
        <w:tc>
          <w:tcPr>
            <w:tcW w:type="dxa" w:w="960"/>
          </w:tcPr>
          <w:p>
            <w:pPr>
              <w:spacing w:line="276" w:lineRule="auto"/>
            </w:pPr>
            <w:r>
              <w:t>0.230</w:t>
            </w:r>
          </w:p>
        </w:tc>
        <w:tc>
          <w:tcPr>
            <w:tcW w:type="dxa" w:w="960"/>
          </w:tcPr>
          <w:p>
            <w:pPr>
              <w:spacing w:line="276" w:lineRule="auto"/>
            </w:pPr>
            <w:r>
              <w:t>0.182</w:t>
            </w:r>
          </w:p>
        </w:tc>
      </w:tr>
    </w:tbl>
    <w:p>
      <w:pPr>
        <w:spacing w:before="240" w:line="480" w:lineRule="auto"/>
      </w:pPr>
      <w:r/>
      <w:r>
        <w:rPr>
          <w:i/>
        </w:rPr>
        <w:t>Table 7. Linear versus non-linear Z-to-X mapping: random-effects ATE bias and relative bias reduction (n=2000, K=5, z=1.0, zx=1.0).</w:t>
      </w:r>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1"/>
        <w:spacing w:line="480" w:lineRule="auto"/>
      </w:pPr>
      <w:r>
        <w:t>4. Discussion</w:t>
      </w:r>
    </w:p>
    <w:p>
      <w:pPr>
        <w:pStyle w:val="Heading2"/>
        <w:spacing w:line="480" w:lineRule="auto"/>
      </w:pPr>
      <w:r>
        <w:t>Principal findings</w:t>
      </w:r>
    </w:p>
    <w:p>
      <w:pPr>
        <w:spacing w:line="480" w:lineRule="auto"/>
      </w:pPr>
      <w:r>
        <w:t>IONE is an exploratory diagnostic for hidden effect modification in IPD meta-analysis. Two findings stand out. First, the coherence diagnostics C1 and W can signal hidden effect modification: methods that captured more true Z structure showed lower C1 and higher W. Second, stratification-based extraction was only conditionally successful: the Oracle baseline achieved ARI 0.372, whereas the best non-Oracle method (1B_residual) reached only 0.032. Despite modest recovery, the best data-driven method reduced crude ATE bias from 0.01865 to 0.00816 on the risk-difference scale (relative reduction 0.563) when stratum-specific estimates were pooled with DerSimonian-Laird. The extra bias reduction from random-effects pooling shows that stratum effects should be allowed to vary once incoherence is flagged.</w:t>
      </w:r>
    </w:p>
    <w:p>
      <w:pPr>
        <w:pStyle w:val="Heading2"/>
        <w:spacing w:line="480" w:lineRule="auto"/>
      </w:pPr>
      <w:r>
        <w:t>Detection versus extraction</w:t>
      </w:r>
    </w:p>
    <w:p>
      <w:pPr>
        <w:spacing w:line="480" w:lineRule="auto"/>
      </w:pPr>
      <w:r>
        <w:t>A two-tier interpretation is useful. Detection asks whether the pooled population is incoherent; C1 and W answer this without requiring the analyst to specify hidden subgroups. Extraction attempts to recover those subgroups and estimate stratum-specific effects. Our results show extraction is far harder than detection. IONE's practical value therefore lies mainly in detection and in partial ATE improvement, not in perfect confounding adjustment.</w:t>
      </w:r>
    </w:p>
    <w:p>
      <w:pPr>
        <w:pStyle w:val="Heading2"/>
        <w:spacing w:line="480" w:lineRule="auto"/>
      </w:pPr>
      <w:r>
        <w:t>Relation to existing methods</w:t>
      </w:r>
    </w:p>
    <w:p>
      <w:pPr>
        <w:spacing w:line="480" w:lineRule="auto"/>
      </w:pPr>
      <w:r>
        <w:t>Propensity-score and prognostic-score methods adjust for measured confounders [8][10]. High-dimensional propensity scores use proxy variables to improve propensity estimation [18]. Latent class analysis seeks hidden subgroups but relies on strong distributional assumptions [9]. IONE complements these: it is applied before or alongside conventional synthesis, flags incoherence, and then conventional adjustment can be applied within strata.</w:t>
      </w:r>
    </w:p>
    <w:p>
      <w:pPr>
        <w:pStyle w:val="Heading2"/>
        <w:spacing w:line="480" w:lineRule="auto"/>
      </w:pPr>
      <w:r>
        <w:t>Strengths and limitations</w:t>
      </w:r>
    </w:p>
    <w:p>
      <w:pPr>
        <w:spacing w:line="480" w:lineRule="auto"/>
      </w:pPr>
      <w:r>
        <w:t xml:space="preserve">Strengths include ADEMP-compliant reporting [7], a transparent pipeline that reads all numbers from repository CSVs, and a data-generating mechanism that mirrors real IPD heterogeneity. Limitations include a single primary sample size and moderate Z-to-X trace (sensitivity analyses varied these); the true-Z partition is an operational construct, so ARI measures agreement with a constructed reference; </w:t>
      </w:r>
      <m:oMath>
        <m:sSub>
          <m:e>
            <m:r>
              <m:t xml:space="preserve">W</m:t>
            </m:r>
          </m:e>
          <m:sub>
            <m:r>
              <m:t xml:space="preserve">est</m:t>
            </m:r>
          </m:sub>
        </m:sSub>
      </m:oMath>
      <w:r>
        <w:t xml:space="preserve"> depends on a correctly specified outcome model; DerSimonian-Laird treats discovered strata as independent studies, which they are not; C1 is computed from log odds ratios while ATE bias is on the risk-difference scale; and the semi-synthetic examples use reconstructed aggregate data, not real individual-level records.</w:t>
      </w:r>
    </w:p>
    <w:p>
      <w:pPr>
        <w:pStyle w:val="Heading2"/>
        <w:spacing w:line="480" w:lineRule="auto"/>
      </w:pPr>
      <w:r>
        <w:t>Implications for practice</w:t>
      </w:r>
    </w:p>
    <w:p>
      <w:pPr>
        <w:spacing w:line="480" w:lineRule="auto"/>
      </w:pPr>
      <w:r>
        <w:t xml:space="preserve">We recommend that IPD meta-analysis reports include a coherence assessment. If C1 is low and </w:t>
      </w:r>
      <m:oMath>
        <m:sSub>
          <m:e>
            <m:r>
              <m:t xml:space="preserve">W</m:t>
            </m:r>
          </m:e>
          <m:sub>
            <m:r>
              <m:t xml:space="preserve">est</m:t>
            </m:r>
          </m:sub>
        </m:sSub>
      </m:oMath>
      <w:r>
        <w:t xml:space="preserve"> is small, the marginal effect should be interpreted cautiously and prespecified subgroups, interactions and sensitivity analyses explored. IONE should be reported alongside—not instead of—conventional models and covariate adjustment.</w:t>
      </w:r>
    </w:p>
    <w:p>
      <w:pPr>
        <w:pStyle w:val="Heading2"/>
        <w:spacing w:line="480" w:lineRule="auto"/>
      </w:pPr>
      <w:r>
        <w:t>Future directions</w:t>
      </w:r>
    </w:p>
    <w:p>
      <w:pPr>
        <w:spacing w:line="480" w:lineRule="auto"/>
      </w:pPr>
      <w:r>
        <w:t>Extensions include survival outcomes, network meta-analyses, Bayesian hierarchical synthesis for discovered strata, and validation on real individual-level clinical data with measured but withheld effect modifiers.</w:t>
      </w:r>
    </w:p>
    <w:p>
      <w:pPr>
        <w:pStyle w:val="Heading1"/>
        <w:spacing w:line="480" w:lineRule="auto"/>
      </w:pPr>
      <w:r>
        <w:t>5. Conclusions</w:t>
      </w:r>
    </w:p>
    <w:p>
      <w:pPr>
        <w:spacing w:line="480" w:lineRule="auto"/>
      </w:pPr>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All code, scripts and semi-synthetic example data are available at https://github.com/bougtoir/ione-stratification-framework. The repository contains a requirements.txt file, fixed random seeds, and generate_summary.py that reproduces the CSV summaries from which the manuscript numbers are drawn. Running generate_summary.py, generate_ione_rsm_v3.py and generate_rsm_tables.py in Python 3.11 regenerates the main manuscript, tables and figures. An archived Zenodo DOI will be obtained before acceptance.</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Supplementary methods, abbreviations, ADEMP/STROBE-Sim checklists, and the four extended sensitivity tables are provided in biostatistics_supplementary_v3.docx.</w:t>
      </w:r>
    </w:p>
    <w:p>
      <w:pPr>
        <w:pStyle w:val="Heading2"/>
        <w:spacing w:line="480" w:lineRule="auto"/>
      </w:pPr>
      <w:r>
        <w:t>Artificial intelligence</w:t>
      </w:r>
    </w:p>
    <w:p>
      <w:pPr>
        <w:spacing w:line="480" w:lineRule="auto"/>
      </w:pPr>
      <w:r>
        <w:t>Manuscript text, code and analyses were drafted or revised using OpenAI GPT-4 and GPT-4o (August 2025–August 2026) under the author's direct supervision. The author designed the study, wrote the simulation code, selected references, verified every numerical result, and approved the final scientific content.</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Pearl J. Causality. 2nd ed. Cambridge: Cambridge University Press; 2009.</w:t>
      </w:r>
    </w:p>
    <w:p>
      <w:pPr>
        <w:spacing w:line="480" w:lineRule="auto"/>
      </w:pPr>
      <w:r>
        <w:t>[5] Greenland S, Robins JM, Pearl J. Confounding and collapsibility in causal inference. Stat Sci. 1999;14(1):29–46.</w:t>
      </w:r>
    </w:p>
    <w:p>
      <w:pPr>
        <w:spacing w:line="480" w:lineRule="auto"/>
      </w:pPr>
      <w:r>
        <w:t>[6] Higgins JPT, Thompson SG. Quantifying heterogeneity in a meta-analysis. Stat Med. 2002;21(11):1539–1558.</w:t>
      </w:r>
    </w:p>
    <w:p>
      <w:pPr>
        <w:spacing w:line="480" w:lineRule="auto"/>
      </w:pPr>
      <w:r>
        <w:t>[7] Morris TP, White IR, Crowther MJ. Using simulation studies to evaluate statistical methods. Stat Med. 2019;38(11):2074–2102.</w:t>
      </w:r>
    </w:p>
    <w:p>
      <w:pPr>
        <w:spacing w:line="480" w:lineRule="auto"/>
      </w:pPr>
      <w:r>
        <w:t>[8] Rosenbaum PR, Rubin DB. The central role of the propensity score in observational studies for causal effects. Biometrika. 1983;70(1):41–55.</w:t>
      </w:r>
    </w:p>
    <w:p>
      <w:pPr>
        <w:spacing w:line="480" w:lineRule="auto"/>
      </w:pPr>
      <w:r>
        <w:t>[9] McLachlan GJ, Peel D. Finite Mixture Models. New York: Wiley; 2000.</w:t>
      </w:r>
    </w:p>
    <w:p>
      <w:pPr>
        <w:spacing w:line="480" w:lineRule="auto"/>
      </w:pPr>
      <w:r>
        <w:t>[10] Hansen BB. The prognostic analogue of the propensity score. Biometrika. 2008;95(2):481–488.</w:t>
      </w:r>
    </w:p>
    <w:p>
      <w:pPr>
        <w:spacing w:line="480" w:lineRule="auto"/>
      </w:pPr>
      <w:r>
        <w:t>[11] DerSimonian R, Laird N. Meta-analysis in clinical trials. Control Clin Trials. 1986;7(3):177–188.</w:t>
      </w:r>
    </w:p>
    <w:p>
      <w:pPr>
        <w:spacing w:line="480" w:lineRule="auto"/>
      </w:pPr>
      <w:r>
        <w:t>[12] Hubert L, Arabie P. Comparing partitions. J Classif. 1985;2(1):193–218.</w:t>
      </w:r>
    </w:p>
    <w:p>
      <w:pPr>
        <w:spacing w:line="480" w:lineRule="auto"/>
      </w:pPr>
      <w:r>
        <w:t>[13] Charig CR, Webb DR, Payne SR, Wickham JE. Comparison of treatment of renal calculi by open surgery, percutaneous nephrolithotomy, and extracorporeal shockwave lithotripsy. BMJ. 1986;292(6521):879–882.</w:t>
      </w:r>
    </w:p>
    <w:p>
      <w:pPr>
        <w:spacing w:line="480" w:lineRule="auto"/>
      </w:pPr>
      <w:r>
        <w:t>[14] Bickel PJ, Hammel EA, O'Connell JW. Sex bias in graduate admissions: data from Berkeley. Science. 1975;187(4175):398–404.</w:t>
      </w:r>
    </w:p>
    <w:p>
      <w:pPr>
        <w:spacing w:line="480" w:lineRule="auto"/>
      </w:pPr>
      <w:r>
        <w:t>[15] von Kügelgen J, Gresele L, Schölkopf B. Simpson's paradox in Covid-19 case fatality rates: a mediation analysis of age-related causal effects. IEEE Trans Artif Intell. 2021;2(1):18–27.</w:t>
      </w:r>
    </w:p>
    <w:p>
      <w:pPr>
        <w:spacing w:line="480" w:lineRule="auto"/>
      </w:pPr>
      <w:r>
        <w:t>[16] Morris JS. Israeli data: how can efficacy vs. severe disease be strong when 60% of hospitalized are vaccinated? 2021. Available from: https://www.covid-datascience.com/post/israeli-data-how-can-efficacy-vs-severe-disease-be-strong-when-60-of-hospitalized-are-vaccinated</w:t>
      </w:r>
    </w:p>
    <w:p>
      <w:pPr>
        <w:spacing w:line="480" w:lineRule="auto"/>
      </w:pPr>
      <w:r>
        <w:t>[17] Appleton DR, French NR, Vanderpump MP. Ignoring a covariate: an example of Simpson's paradox. Am Stat. 1996;50(4):340–341.</w:t>
      </w:r>
    </w:p>
    <w:p>
      <w:pPr>
        <w:spacing w:line="480" w:lineRule="auto"/>
      </w:pPr>
      <w:r>
        <w:t>[18] Schneeweiss S, Rassen JA, Glynn RJ, Avorn J, Mogun H, Brookhart MA. High-dimensional propensity score adjustment in studies of treatment effects using health care claims data. Epidemiology. 2009;20(4):512–522.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