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IONE: Incoherence-Oriented Neutralisation and Extraction for hidden effect modification</w:t>
      </w:r>
    </w:p>
    <w:p>
      <w:pPr>
        <w:pStyle w:val="Title"/>
        <w:jc w:val="center"/>
      </w:pPr>
      <w:r>
        <w:t>in individual participant data meta-analysis: a simulation study of stratification-based extraction</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5</w:t>
      </w:r>
    </w:p>
    <w:p>
      <w:r>
        <w:t>Number of tables: 3</w:t>
      </w:r>
    </w:p>
    <w:p>
      <w:r>
        <w:t>Word count: Abstract 194; Main text 2138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file, fixed random seeds and a reproducible pipeline.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