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IONE: Incoherence-Oriented Neutralisation and Extraction for hidden effect modification in individual participant data meta-analysis: a simulation study of stratification-based extraction</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when hidden effect modifiers are ignored. We propose Incoherence-Oriented Neutralisation and Extraction (IONE), an exploratory diagnostic for hidden effect modification.</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w:t>
      </w:r>
    </w:p>
    <w:p>
      <w:pPr>
        <w:spacing w:line="480" w:lineRule="auto"/>
      </w:pPr>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Sensitivity analyses showed that bias reduction depends most on sample size and effect-modification strength, and the diagnostics remained informative under non-linear covariate mappings.</w:t>
      </w:r>
    </w:p>
    <w:p>
      <w:pPr>
        <w:spacing w:line="480" w:lineRule="auto"/>
      </w:pPr>
      <w:r/>
      <w:r>
        <w:rPr>
          <w:b/>
        </w:rPr>
        <w:t>Conclusions:</w:t>
      </w:r>
      <w:r>
        <w:t xml:space="preserve"> IONE is a transparent diagnostic for hidden effect modification in IPD meta-analyses, to be reported alongside conventional models and covariate adjustment.</w:t>
      </w:r>
    </w:p>
    <w:p>
      <w:pPr>
        <w:spacing w:line="480" w:lineRule="auto"/>
      </w:pPr>
      <w:r/>
      <w:r>
        <w:rPr>
          <w:b/>
        </w:rPr>
        <w:t>Keywords:</w:t>
      </w:r>
      <w:r>
        <w:t xml:space="preserve"> individual participant data meta-analysis; evidence synthesis; heterogeneity; hidden effect modification; stratification</w:t>
      </w:r>
    </w:p>
    <w:p>
      <w:pPr>
        <w:spacing w:line="480" w:lineRule="auto"/>
      </w:pPr>
      <w:r>
        <w:br w:type="page"/>
      </w:r>
    </w:p>
    <w:p>
      <w:pPr>
        <w:pStyle w:val="Heading1"/>
        <w:spacing w:line="480" w:lineRule="auto"/>
      </w:pPr>
      <w:r>
        <w:t>1. Introduction</w:t>
      </w:r>
    </w:p>
    <w:p>
      <w:pPr>
        <w:spacing w:line="480" w:lineRule="auto"/>
      </w:pPr>
      <w:r>
        <w:t>Meta-analysis combines treatment-effect estimates from related studies and is central to evidence-based medicine and policy [1]. In an individual participant data (IPD) meta-analysis, the original participant-level data are collected and re-analysed, which preserves covariate and subgroup information and can improve power for treatment-covariate interactions [2][3]. A random-effects analysis is widely recommended when between-study heterogeneity is suspected [4][5][6].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[7][8].</w:t>
      </w:r>
    </w:p>
    <w:p>
      <w:pPr>
        <w:spacing w:line="480" w:lineRule="auto"/>
      </w:pPr>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 The term "neutralisation" refers to reducing the misleading influence of a marginal summary that conflates heterogeneous subgroups, by extracting coherent subpopulations for separate analysis.</w:t>
      </w:r>
    </w:p>
    <w:p>
      <w:pPr>
        <w:spacing w:line="480" w:lineRule="auto"/>
      </w:pPr>
      <w:r>
        <w:t>Observational study populations may harbour hidden subpopulations with distinct characteristics that differentially influence both exposure and outcome. This hidden structure can manifest as confounding [9], Simpson's paradox [10][11], undetected effect modification [12], the ecological fallacy [13] and non-collapsibility [8]. These biases are not merely theoretical: the direction of an association observed in aggregate can reverse within subgroups, and a single average treatment effect may apply to no individual subgroup. Recognising that a pooled population is incoherent—comprising multiple coherent subpopulations whose mixture produces misleading aggregate statistics—is therefore the first step toward valid within-subgroup inference [10][11].</w:t>
      </w:r>
    </w:p>
    <w:p>
      <w:pPr>
        <w:spacing w:line="480" w:lineRule="auto"/>
      </w:pPr>
      <w:r>
        <w:t xml:space="preserve">These biases are not merely theoretical concerns. Simpson's paradox has been documented in landmark studies across medicine and social science: kidney stone treatment comparisons where the inferior treatment appeared superior in aggregate [14], university admissions data where apparent gender discrimination reversed at the departmental level [15], COVID-19 case fatality rate comparisons that were confounded by national differences in age distributions [16], vaccine effectiveness evaluations that appeared to show vaccine failure due to age-related confounding [17], and smoking–mortality studies where smokers appeared to have lower mortality due to confounding by age [18].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[10][11].</w:t>
      </w:r>
    </w:p>
    <w:p>
      <w:pPr>
        <w:spacing w:line="480" w:lineRule="auto"/>
      </w:pPr>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[19]. The prognostic score predicts the outcome under no treatment and provides an alternative basis for stratification [20][21]. The disease risk score (DRS) constructs an outcome prediction model using untreated subjects only [21]. Instrumental variable methods exploit variables that affect treatment but not the outcome directly [22]. More recently, the high-dimensional propensity score (hdPS) algorithm automatically extracts thousands of candidate proxy variables from claims data to approximate unmeasured confounding [23][24].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[23][25].</w:t>
      </w:r>
    </w:p>
    <w:p>
      <w:pPr>
        <w:spacing w:line="480" w:lineRule="auto"/>
      </w:pPr>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[23]. Proximal causal inference formalises the use of proxy variables for identification of causal effects in the presence of unmeasured confounding [26]. Latent class analysis and finite mixture models seek to identify unobserved subgroups from patterns in observed variables [27].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a conventional baseline characteristics table providing only descriptive summaries that cannot formally test for hidden subgroup structure [28].</w:t>
      </w:r>
    </w:p>
    <w:p>
      <w:pPr>
        <w:spacing w:line="480" w:lineRule="auto"/>
      </w:pPr>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pPr>
        <w:spacing w:line="480" w:lineRule="auto"/>
      </w:pPr>
      <w:r>
        <w:t xml:space="preserve">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w:t>
      </w:r>
      <m:oMath>
        <m:sSup>
          <m:e>
            <m:r>
              <m:t xml:space="preserve">I</m:t>
            </m:r>
          </m:e>
          <m:sup>
            <m:r>
              <m:t xml:space="preserve">2</m:t>
            </m:r>
          </m:sup>
        </m:sSup>
      </m:oMath>
      <w:r>
        <w:t xml:space="preserve"> heterogeneity statistic [5] applied to stratum-specific log odds ratios, and W, the proportion of total conditional average treatment effect (CATE) variance explained by the stratification.</w:t>
      </w:r>
    </w:p>
    <w:p>
      <w:pPr>
        <w:pStyle w:val="Heading1"/>
        <w:spacing w:line="480" w:lineRule="auto"/>
      </w:pPr>
      <w:r>
        <w:t>2. Methods</w:t>
      </w:r>
    </w:p>
    <w:p>
      <w:pPr>
        <w:spacing w:line="480" w:lineRule="auto"/>
      </w:pPr>
      <w:r>
        <w:t>This simulation study follows the ADEMP framework [29].</w:t>
      </w:r>
    </w:p>
    <w:p>
      <w:pPr>
        <w:pStyle w:val="Heading2"/>
        <w:spacing w:line="480" w:lineRule="auto"/>
      </w:pPr>
      <w:r>
        <w:t>Aims</w:t>
      </w:r>
    </w:p>
    <w:p>
      <w:pPr>
        <w:pStyle w:val="ListNumber"/>
        <w:spacing w:line="480" w:lineRule="auto"/>
      </w:pPr>
      <w:r>
        <w:t>Evaluate whether stratification of pooled IPD based on measured covariates can recover hidden subgroup structure.</w:t>
      </w:r>
    </w:p>
    <w:p>
      <w:pPr>
        <w:pStyle w:val="ListNumber"/>
        <w:spacing w:line="480" w:lineRule="auto"/>
      </w:pPr>
      <w:r>
        <w:t>Compare outcome-informed IONE methods with outcome-free and established comparators.</w:t>
      </w:r>
    </w:p>
    <w:p>
      <w:pPr>
        <w:pStyle w:val="ListNumber"/>
        <w:spacing w:line="480" w:lineRule="auto"/>
      </w:pPr>
      <w:r>
        <w:t>Assess whether C1 and W diagnose hidden effect modification.</w:t>
      </w:r>
    </w:p>
    <w:p>
      <w:pPr>
        <w:pStyle w:val="ListNumber"/>
        <w:spacing w:line="480" w:lineRule="auto"/>
      </w:pPr>
      <w:r>
        <w:t>Quantify ATE bias reduction from fixed-effect and DerSimonian-Laird random-effects synthesis of stratum-specific risk differences.</w:t>
      </w:r>
    </w:p>
    <w:p>
      <w:pPr>
        <w:pStyle w:val="ListNumber"/>
        <w:spacing w:line="480" w:lineRule="auto"/>
      </w:pPr>
      <w:r>
        <w:t>Identify data-generating conditions under which the diagnostics are most informative.</w:t>
      </w:r>
    </w:p>
    <w:p>
      <w:pPr>
        <w:pStyle w:val="Heading2"/>
        <w:spacing w:line="480" w:lineRule="auto"/>
      </w:pPr>
      <w:r>
        <w:t>IPD data-generating mechanism</w:t>
      </w:r>
    </w:p>
    <w:p>
      <w:pPr>
        <w:spacing w:line="480" w:lineRule="auto"/>
      </w:pPr>
      <w:r>
        <w:t>We simulated an IPD meta-analysis with n=2000 participants assigned to 10 studies. Study-level variation in baseline risk, treatment prevalence and a continuous age-like covariate was controlled by a scale parameter of 0.6.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true estimand was the population risk-difference ATE. Full algebraic details are in Additional file 1; all scenarios used fixed random seeds.</w:t>
      </w:r>
    </w:p>
    <w:p>
      <w:pPr>
        <w:spacing w:line="480" w:lineRule="auto"/>
      </w:pPr>
      <w:r>
        <w:t>The primary scenario used n=2000 participants, 10 studies and K=5 strata. We also varied K (3, 5, 10), sample size (500, 2000, 10 000), Z-to-Y effect scale (0.5, 1.0, 2.0), Z-to-X influence scale (0.2, 0.5, 1.0), and introduced a non-linear Z-to-X mapping (quadratic and log-normal). The primary and strata-sensitivity scenarios used 50 replications; the extended robustness scenarios used 10 replications.</w:t>
      </w:r>
    </w:p>
    <w:p>
      <w:pPr>
        <w:pStyle w:val="Heading2"/>
        <w:spacing w:line="480" w:lineRule="auto"/>
      </w:pPr>
      <w:r>
        <w:t>Stratification methods</w:t>
      </w:r>
    </w:p>
    <w:p>
      <w:pPr>
        <w:spacing w:line="480" w:lineRule="auto"/>
      </w:pPr>
      <w:r/>
      <w:r>
        <w:rPr>
          <w:b/>
        </w:rPr>
        <w:t>Proposed Family 1 (outcome-informed).</w:t>
      </w:r>
      <w:r/>
    </w:p>
    <w:p>
      <w:pPr>
        <w:pStyle w:val="ListBullet"/>
        <w:spacing w:line="480" w:lineRule="auto"/>
      </w:pPr>
      <w:r/>
      <w:r>
        <w:rPr>
          <w:b/>
        </w:rPr>
        <w:t>Method 1A (Predicted probability):</w:t>
      </w:r>
      <w:r>
        <w:t xml:space="preserve"> logistic regression of Y on X; stratify by quantiles of the predicted probability </w:t>
      </w:r>
      <m:oMath>
        <m:acc>
          <m:accPr>
            <m:chr m:val="^"/>
          </m:accPr>
          <m:e>
            <m:r>
              <m:t xml:space="preserve">p</m:t>
            </m:r>
          </m:e>
        </m:acc>
      </m:oMath>
      <w:r>
        <w:t xml:space="preserve">.</w:t>
      </w:r>
    </w:p>
    <w:p>
      <w:pPr>
        <w:pStyle w:val="ListBullet"/>
        <w:spacing w:line="480" w:lineRule="auto"/>
      </w:pPr>
      <w:r/>
      <w:r>
        <w:rPr>
          <w:b/>
        </w:rPr>
        <w:t>Method 1B (Residual):</w:t>
      </w:r>
      <w:r>
        <w:t xml:space="preserve"> stratify by quantiles of the absolute residual from the same model.</w:t>
      </w:r>
    </w:p>
    <w:p>
      <w:pPr>
        <w:pStyle w:val="ListBullet"/>
        <w:spacing w:line="480" w:lineRule="auto"/>
      </w:pPr>
      <w:r/>
      <w:r>
        <w:rPr>
          <w:b/>
        </w:rPr>
        <w:t>Method 1C (Cross-validated):</w:t>
      </w:r>
      <w:r>
        <w:t xml:space="preserve"> K-fold cross-validated predictions before stratification.</w:t>
      </w:r>
    </w:p>
    <w:p>
      <w:pPr>
        <w:spacing w:line="480" w:lineRule="auto"/>
      </w:pPr>
      <w:r/>
      <w:r>
        <w:rPr>
          <w:b/>
        </w:rPr>
        <w:t>Proposed Family 2 (outcome-free).</w:t>
      </w:r>
      <w:r/>
    </w:p>
    <w:p>
      <w:pPr>
        <w:pStyle w:val="ListBullet"/>
        <w:spacing w:line="480" w:lineRule="auto"/>
      </w:pPr>
      <w:r/>
      <w:r>
        <w:rPr>
          <w:b/>
        </w:rPr>
        <w:t>Method 2A (PCA):</w:t>
      </w:r>
      <w:r>
        <w:t xml:space="preserve"> PC1 of standardised X, stratified by quantiles.</w:t>
      </w:r>
    </w:p>
    <w:p>
      <w:pPr>
        <w:pStyle w:val="ListBullet"/>
        <w:spacing w:line="480" w:lineRule="auto"/>
      </w:pPr>
      <w:r/>
      <w:r>
        <w:rPr>
          <w:b/>
        </w:rPr>
        <w:t>Method 2B (Clustering):</w:t>
      </w:r>
      <w:r>
        <w:t xml:space="preserve"> K-means on standardised X with K clusters.</w:t>
      </w:r>
    </w:p>
    <w:p>
      <w:pPr>
        <w:spacing w:line="480" w:lineRule="auto"/>
      </w:pPr>
      <w:r/>
      <w:r>
        <w:rPr>
          <w:b/>
        </w:rPr>
        <w:t>Comparators and baselines.</w:t>
      </w:r>
      <w:r/>
    </w:p>
    <w:p>
      <w:pPr>
        <w:pStyle w:val="ListBullet"/>
        <w:spacing w:line="480" w:lineRule="auto"/>
      </w:pPr>
      <w:r>
        <w:t>Propensity-score quintiles [19], Gaussian mixture model on X [27], prognostic-score stratification using untreated-only Y~X [20]. Oracle baselines stratify by true Z-space; random assignment provides a chance reference.</w:t>
      </w:r>
    </w:p>
    <w:p>
      <w:pPr>
        <w:spacing w:line="480" w:lineRule="auto"/>
      </w:pPr>
      <w:r>
        <w:t>All quantile methods used equal-frequency strata. Logistic regression used l2 regularisation (C=1.0, lbfgs). Outcome-informed methods used a 50/50 discovery/evaluation split; outcome-free methods used the full sample.</w:t>
      </w:r>
    </w:p>
    <w:p>
      <w:pPr>
        <w:pStyle w:val="Heading2"/>
        <w:spacing w:line="480" w:lineRule="auto"/>
      </w:pPr>
      <w:r>
        <w:t>Synthesis of stratum-specific effects</w:t>
      </w:r>
    </w:p>
    <w:p>
      <w:pPr>
        <w:spacing w:line="480" w:lineRule="auto"/>
      </w:pPr>
      <w:r>
        <w:t xml:space="preserve">Within each stratum we computed the risk difference, defined as the difference between the outcome probability under treatment and the outcome probability under control. A two-stage fixed-effect summary weighted strata by size; a DerSimonian-Laird random-effects summary estimated between-stratum variance [4]. </w:t>
      </w:r>
      <w:r>
        <w:rPr>
          <w:i/>
        </w:rPr>
        <w:t>Neutralisation</w:t>
      </w:r>
      <w:r>
        <w:t xml:space="preserve"> means reducing the misleading influence of a marginal summary by extracting coherent subpopulations. Two caveats apply: discovered strata are not independent study estimates, and C1 is computed from log odds ratios while ATE bias is on the risk-difference scale, so C1 is an indirect diagnostic.</w:t>
      </w:r>
    </w:p>
    <w:p>
      <w:pPr>
        <w:pStyle w:val="Heading2"/>
        <w:spacing w:line="480" w:lineRule="auto"/>
      </w:pPr>
      <w:r>
        <w:t>Evaluation metrics</w:t>
      </w:r>
    </w:p>
    <w:p>
      <w:pPr>
        <w:pStyle w:val="ListBullet"/>
        <w:spacing w:line="480" w:lineRule="auto"/>
      </w:pPr>
      <w:r/>
      <w:r>
        <w:rPr>
          <w:b/>
        </w:rPr>
        <w:t>ARI</w:t>
      </w:r>
      <w:r>
        <w:t xml:space="preserve"> [30]: agreement between estimated strata and a true-Z partition, corrected for chance.</w:t>
      </w:r>
    </w:p>
    <w:p>
      <w:pPr>
        <w:pStyle w:val="ListBullet"/>
        <w:spacing w:line="480" w:lineRule="auto"/>
      </w:pPr>
      <w:r/>
      <w:r>
        <w:rPr>
          <w:b/>
        </w:rPr>
        <w:t>C1</w:t>
      </w:r>
      <w:r>
        <w:t xml:space="preserve"> = 1 - </w:t>
      </w:r>
      <m:oMath>
        <m:sSup>
          <m:e>
            <m:r>
              <m:t xml:space="preserve">I</m:t>
            </m:r>
          </m:e>
          <m:sup>
            <m:r>
              <m:t xml:space="preserve">2</m:t>
            </m:r>
          </m:sup>
        </m:sSup>
      </m:oMath>
      <w:r>
        <w:t xml:space="preserve"> applied to stratum-specific log odds ratios [5]; lower C1 indicates stronger between-stratum heterogeneity.</w:t>
      </w:r>
    </w:p>
    <w:p>
      <w:pPr>
        <w:pStyle w:val="ListBullet"/>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is operational in real data but requires a correctly specified outcome model.</w:t>
      </w:r>
    </w:p>
    <w:p>
      <w:pPr>
        <w:pStyle w:val="ListBullet"/>
        <w:spacing w:line="480" w:lineRule="auto"/>
      </w:pPr>
      <w:r/>
      <w:r>
        <w:rPr>
          <w:b/>
        </w:rPr>
        <w:t>ATE bias reduction:</w:t>
      </w:r>
      <w:r>
        <w:t xml:space="preserve"> absolute differences between crude, stratified and random-effects estimates, plus relative ratios.</w:t>
      </w:r>
    </w:p>
    <w:p>
      <w:pPr>
        <w:pStyle w:val="ListBullet"/>
        <w:spacing w:line="480" w:lineRule="auto"/>
      </w:pPr>
      <w:r>
        <w:t>Monte Carlo SE and 95% CI for every mean.</w:t>
      </w:r>
    </w:p>
    <w:p>
      <w:pPr>
        <w:spacing w:line="480" w:lineRule="auto"/>
      </w:pPr>
      <w:r>
        <w:t>The true-Z partition is a k-means clustering of the standardised Z-space with K strata. ARI therefore measures agreement with a constructed reference.</w:t>
      </w:r>
    </w:p>
    <w:p>
      <w:pPr>
        <w:pStyle w:val="Heading2"/>
        <w:spacing w:line="480" w:lineRule="auto"/>
      </w:pPr>
      <w:r>
        <w:t>Semi-synthetic illustrations</w:t>
      </w:r>
    </w:p>
    <w:p>
      <w:pPr>
        <w:spacing w:line="480" w:lineRule="auto"/>
      </w:pPr>
      <w:r>
        <w:t>Five well-known Simpson-paradox examples were reconstructed as pseudo-individual records from published aggregate statistics [14][15][16][17][18]. For each example, pseudo-general variables mimicked proxies of the known confounder and the same IONE methods were applied. The candidate number of strata was selected a priori from {2, 3, min(K_true,4), K_true} and K was chosen as the value maximising ARI within this set. These examples illustrate favourable and unfavourable settings for stratification; they are not validation in real IPD.</w:t>
      </w:r>
    </w:p>
    <w:p>
      <w:pPr>
        <w:pStyle w:val="Heading2"/>
        <w:spacing w:line="480" w:lineRule="auto"/>
      </w:pPr>
      <w:r>
        <w:t>Reporting and reproducibility</w:t>
      </w:r>
    </w:p>
    <w:p>
      <w:pPr>
        <w:spacing w:line="480" w:lineRule="auto"/>
      </w:pPr>
      <w:r>
        <w:t>The design followed ADEMP [29]; checklists are in Additional files 2 and 3. The pipeline is version-controlled; every manuscript number is read from repository CSV outputs. Code and data are at https://github.com/bougtoir/ione-stratification-framework.</w:t>
      </w:r>
    </w:p>
    <w:p>
      <w:pPr>
        <w:pStyle w:val="Heading2"/>
        <w:spacing w:line="480" w:lineRule="auto"/>
      </w:pPr>
      <w:r>
        <w:t>Computational implementation</w:t>
      </w:r>
    </w:p>
    <w:p>
      <w:pPr>
        <w:spacing w:line="480" w:lineRule="auto"/>
      </w:pPr>
      <w:r>
        <w:t>All simulations used Python 3.11. The pipeline comprises data_generation.py, methods.py, evaluation.py, run_rsm_ipd_simulation.py, generate_summary.py and the manuscript generator. Results are fully reproducible from the repository.</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IPD scenario (n=2000, 10 studies, K=5). Recovery of the true hidden structure was modest: the Oracle baseline achieved ARI 0.372, whereas the best non-Oracle method (1B_residual) reached ARI 0.032. C1 and W behaved as expected: methods closer to the Oracle had C1 closer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for most methods, reflecting that the estimated CATE model captures only part of the true CATE variation.</w:t>
      </w:r>
    </w:p>
    <w:p>
      <w:pPr>
        <w:spacing w:line="480" w:lineRule="auto"/>
      </w:pPr>
      <w:r>
        <w:t>The strongest ATE bias reduction was for 1B_residual: crude absolute risk-difference bias 0.01865, stratified 0.01345 (relative 0.279), and DerSimonian-Laird random-effects 0.00816 (relative 0.563). For comparison, random-effects pooling across the true study identifiers (i.e. a study-level meta-analysis) gave an absolute ATE bias of 0.01568 (reduction 0.00296 from crude 0.01865). Random-effects pooling reduced residual bias,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results.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Increasing K beyond the true dimensionality of the hidden structure did not reliably improve ATE bias reduction for data-driven methods; Oracle baselines improved because finer strata better partition the true Z-space. Stratum count should therefore be chosen conservatively and compared across several values rather than simply maximised.</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Comparison with study-level meta-analysis</w:t>
      </w:r>
    </w:p>
    <w:p>
      <w:pPr>
        <w:spacing w:line="480" w:lineRule="auto"/>
      </w:pPr>
      <w:r>
        <w:t>For comparison, random-effects pooling across the true study identifiers (i.e. a study-level meta-analysis) gave an absolute ATE bias of 0.01568 (reduction 0.00296 from crude 0.01865). This benchmark places the data-driven stratification results in context: even the best discovered strata reduced bias by a similar magnitude to using the true study identifier, but neither fully captures the hidden modifier.</w:t>
      </w:r>
    </w:p>
    <w:p>
      <w:pPr>
        <w:pStyle w:val="Heading2"/>
        <w:spacing w:line="480" w:lineRule="auto"/>
      </w:pPr>
      <w:r>
        <w:t>Semi-synthetic illustrations</w:t>
      </w:r>
    </w:p>
    <w:p>
      <w:pPr>
        <w:spacing w:line="480" w:lineRule="auto"/>
      </w:pPr>
      <w:r>
        <w:t>Five published Simpson-paradox examples were reconstructed as pseudo-individual records [14][15][16][17][18]. Table 3 reports the best non-Oracle method per dataset; high ARI occurred only when pseudo-variables strongly correlated with a low-dimensional confounder. These are illustrations, not validation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0.746</w:t>
            </w:r>
          </w:p>
        </w:tc>
        <w:tc>
          <w:tcPr>
            <w:tcW w:type="dxa" w:w="1234"/>
          </w:tcPr>
          <w:p>
            <w:pPr>
              <w:spacing w:line="276" w:lineRule="auto"/>
            </w:pPr>
            <w:r>
              <w:t>0.048</w:t>
            </w:r>
          </w:p>
        </w:tc>
        <w:tc>
          <w:tcPr>
            <w:tcW w:type="dxa" w:w="1234"/>
          </w:tcPr>
          <w:p>
            <w:pPr>
              <w:spacing w:line="276" w:lineRule="auto"/>
            </w:pPr>
            <w:r>
              <w:t>0.289</w:t>
            </w:r>
          </w:p>
        </w:tc>
        <w:tc>
          <w:tcPr>
            <w:tcW w:type="dxa" w:w="1234"/>
          </w:tcPr>
          <w:p>
            <w:pPr>
              <w:spacing w:line="276" w:lineRule="auto"/>
            </w:pPr>
            <w:r>
              <w:t>0.011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3. Best semi-synthetic illustration result per dataset (oracle baselines excluded).</w:t>
      </w:r>
      <w:r/>
    </w:p>
    <w:p>
      <w:pPr>
        <w:spacing w:line="480" w:lineRule="auto"/>
      </w:pPr>
      <w:r>
        <w:t>Figure 3 shows ARI across datasets and methods.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Because extended sensitivity used only 10 replications per cell, Monte Carlo SEs are included. Crude bias declined with n; the largest relative reductions for leading methods occurred at n=10 000. The outcome-residual method showed a floor near 0.008-0.009, so its relative reduction decreased with 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influence strength</w:t>
      </w:r>
    </w:p>
    <w:p>
      <w:pPr>
        <w:spacing w:line="480" w:lineRule="auto"/>
      </w:pPr>
      <w:r>
        <w:t>Supplementary Table S3 reports Z-to-X influence scale = 0.2, 0.5 and 1.0. A stronger covariate trace improved ARI for most methods, but bias-reduction gains were variable at this number of replications; the diagnostics detect statistical traces rather than recover hidden variables perfectly.</w:t>
      </w:r>
    </w:p>
    <w:p>
      <w:pPr>
        <w:pStyle w:val="Heading2"/>
        <w:spacing w:line="480" w:lineRule="auto"/>
      </w:pPr>
      <w:r>
        <w:t>Sensitivity to Z-to-Y effect strength</w:t>
      </w:r>
    </w:p>
    <w:p>
      <w:pPr>
        <w:spacing w:line="480" w:lineRule="auto"/>
      </w:pPr>
      <w:r>
        <w:t>Supplementary Table S4 reports Z-to-Y effect scale = 0.5, 1.0 and 2.0. Weak effect modification produced C1/W values near their nulls. As the effect increased, C1 fell, W rose and relative bias reduction improved. The outcome-residual method retained useful relative reduction even at z=0.5, indicating it can exploit moderate covariate traces.</w:t>
      </w:r>
    </w:p>
    <w:p>
      <w:pPr>
        <w:pStyle w:val="Heading2"/>
        <w:spacing w:line="480" w:lineRule="auto"/>
      </w:pPr>
      <w:r>
        <w:t>Robustness to non-linear Z-to-X mappings</w:t>
      </w:r>
    </w:p>
    <w:p>
      <w:pPr>
        <w:spacing w:line="480" w:lineRule="auto"/>
      </w:pPr>
      <w:r>
        <w:t>Table 7 compares random-effects bias under linear and non-linear Z-to-X mappings. Effects were method-dependent: outcome-residual and clustering methods improved slightly, propensity-score and GMM changed little, and prognostic score declined modestly. No leading method was dramatically degraded, indicating that the diagnostics remain useful when measured covariates are non-linear functions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0.00057</w:t>
            </w:r>
          </w:p>
        </w:tc>
        <w:tc>
          <w:tcPr>
            <w:tcW w:type="dxa" w:w="960"/>
          </w:tcPr>
          <w:p>
            <w:pPr>
              <w:spacing w:line="276" w:lineRule="auto"/>
            </w:pPr>
            <w:r>
              <w:t>0.602</w:t>
            </w:r>
          </w:p>
        </w:tc>
        <w:tc>
          <w:tcPr>
            <w:tcW w:type="dxa" w:w="960"/>
          </w:tcPr>
          <w:p>
            <w:pPr>
              <w:spacing w:line="276" w:lineRule="auto"/>
            </w:pPr>
            <w:r>
              <w:t>0.313</w:t>
            </w:r>
          </w:p>
        </w:tc>
        <w:tc>
          <w:tcPr>
            <w:tcW w:type="dxa" w:w="960"/>
          </w:tcPr>
          <w:p>
            <w:pPr>
              <w:spacing w:line="276" w:lineRule="auto"/>
            </w:pPr>
            <w:r>
              <w:t>0.00664</w:t>
            </w:r>
          </w:p>
        </w:tc>
        <w:tc>
          <w:tcPr>
            <w:tcW w:type="dxa" w:w="960"/>
          </w:tcPr>
          <w:p>
            <w:pPr>
              <w:spacing w:line="276" w:lineRule="auto"/>
            </w:pPr>
            <w:r>
              <w:t>0.00083</w:t>
            </w:r>
          </w:p>
        </w:tc>
        <w:tc>
          <w:tcPr>
            <w:tcW w:type="dxa" w:w="960"/>
          </w:tcPr>
          <w:p>
            <w:pPr>
              <w:spacing w:line="276" w:lineRule="auto"/>
            </w:pPr>
            <w:r>
              <w:t>0.690</w:t>
            </w:r>
          </w:p>
        </w:tc>
        <w:tc>
          <w:tcPr>
            <w:tcW w:type="dxa" w:w="960"/>
          </w:tcPr>
          <w:p>
            <w:pPr>
              <w:spacing w:line="276" w:lineRule="auto"/>
            </w:pPr>
            <w:r>
              <w:t>0.236</w:t>
            </w:r>
          </w:p>
        </w:tc>
      </w:tr>
      <w:tr>
        <w:tc>
          <w:tcPr>
            <w:tcW w:type="dxa" w:w="960"/>
          </w:tcPr>
          <w:p>
            <w:pPr>
              <w:spacing w:line="276" w:lineRule="auto"/>
            </w:pPr>
            <w:r>
              <w:t>PS_propensity_score</w:t>
            </w:r>
          </w:p>
        </w:tc>
        <w:tc>
          <w:tcPr>
            <w:tcW w:type="dxa" w:w="960"/>
          </w:tcPr>
          <w:p>
            <w:pPr>
              <w:spacing w:line="276" w:lineRule="auto"/>
            </w:pPr>
            <w:r>
              <w:t>0.02162</w:t>
            </w:r>
          </w:p>
        </w:tc>
        <w:tc>
          <w:tcPr>
            <w:tcW w:type="dxa" w:w="960"/>
          </w:tcPr>
          <w:p>
            <w:pPr>
              <w:spacing w:line="276" w:lineRule="auto"/>
            </w:pPr>
            <w:r>
              <w:t>0.00412</w:t>
            </w:r>
          </w:p>
        </w:tc>
        <w:tc>
          <w:tcPr>
            <w:tcW w:type="dxa" w:w="960"/>
          </w:tcPr>
          <w:p>
            <w:pPr>
              <w:spacing w:line="276" w:lineRule="auto"/>
            </w:pPr>
            <w:r>
              <w:t>-0.011</w:t>
            </w:r>
          </w:p>
        </w:tc>
        <w:tc>
          <w:tcPr>
            <w:tcW w:type="dxa" w:w="960"/>
          </w:tcPr>
          <w:p>
            <w:pPr>
              <w:spacing w:line="276" w:lineRule="auto"/>
            </w:pPr>
            <w:r>
              <w:t>1.230</w:t>
            </w:r>
          </w:p>
        </w:tc>
        <w:tc>
          <w:tcPr>
            <w:tcW w:type="dxa" w:w="960"/>
          </w:tcPr>
          <w:p>
            <w:pPr>
              <w:spacing w:line="276" w:lineRule="auto"/>
            </w:pPr>
            <w:r>
              <w:t>0.02084</w:t>
            </w:r>
          </w:p>
        </w:tc>
        <w:tc>
          <w:tcPr>
            <w:tcW w:type="dxa" w:w="960"/>
          </w:tcPr>
          <w:p>
            <w:pPr>
              <w:spacing w:line="276" w:lineRule="auto"/>
            </w:pPr>
            <w:r>
              <w:t>0.00566</w:t>
            </w:r>
          </w:p>
        </w:tc>
        <w:tc>
          <w:tcPr>
            <w:tcW w:type="dxa" w:w="960"/>
          </w:tcPr>
          <w:p>
            <w:pPr>
              <w:spacing w:line="276" w:lineRule="auto"/>
            </w:pPr>
            <w:r>
              <w:t>0.027</w:t>
            </w:r>
          </w:p>
        </w:tc>
        <w:tc>
          <w:tcPr>
            <w:tcW w:type="dxa" w:w="960"/>
          </w:tcPr>
          <w:p>
            <w:pPr>
              <w:spacing w:line="276" w:lineRule="auto"/>
            </w:pPr>
            <w:r>
              <w:t>0.245</w:t>
            </w:r>
          </w:p>
        </w:tc>
      </w:tr>
      <w:tr>
        <w:tc>
          <w:tcPr>
            <w:tcW w:type="dxa" w:w="960"/>
          </w:tcPr>
          <w:p>
            <w:pPr>
              <w:spacing w:line="276" w:lineRule="auto"/>
            </w:pPr>
            <w:r>
              <w:t>GMM</w:t>
            </w:r>
          </w:p>
        </w:tc>
        <w:tc>
          <w:tcPr>
            <w:tcW w:type="dxa" w:w="960"/>
          </w:tcPr>
          <w:p>
            <w:pPr>
              <w:spacing w:line="276" w:lineRule="auto"/>
            </w:pPr>
            <w:r>
              <w:t>0.02180</w:t>
            </w:r>
          </w:p>
        </w:tc>
        <w:tc>
          <w:tcPr>
            <w:tcW w:type="dxa" w:w="960"/>
          </w:tcPr>
          <w:p>
            <w:pPr>
              <w:spacing w:line="276" w:lineRule="auto"/>
            </w:pPr>
            <w:r>
              <w:t>0.00547</w:t>
            </w:r>
          </w:p>
        </w:tc>
        <w:tc>
          <w:tcPr>
            <w:tcW w:type="dxa" w:w="960"/>
          </w:tcPr>
          <w:p>
            <w:pPr>
              <w:spacing w:line="276" w:lineRule="auto"/>
            </w:pPr>
            <w:r>
              <w:t>-0.020</w:t>
            </w:r>
          </w:p>
        </w:tc>
        <w:tc>
          <w:tcPr>
            <w:tcW w:type="dxa" w:w="960"/>
          </w:tcPr>
          <w:p>
            <w:pPr>
              <w:spacing w:line="276" w:lineRule="auto"/>
            </w:pPr>
            <w:r>
              <w:t>0.544</w:t>
            </w:r>
          </w:p>
        </w:tc>
        <w:tc>
          <w:tcPr>
            <w:tcW w:type="dxa" w:w="960"/>
          </w:tcPr>
          <w:p>
            <w:pPr>
              <w:spacing w:line="276" w:lineRule="auto"/>
            </w:pPr>
            <w:r>
              <w:t>0.01746</w:t>
            </w:r>
          </w:p>
        </w:tc>
        <w:tc>
          <w:tcPr>
            <w:tcW w:type="dxa" w:w="960"/>
          </w:tcPr>
          <w:p>
            <w:pPr>
              <w:spacing w:line="276" w:lineRule="auto"/>
            </w:pPr>
            <w:r>
              <w:t>0.00629</w:t>
            </w:r>
          </w:p>
        </w:tc>
        <w:tc>
          <w:tcPr>
            <w:tcW w:type="dxa" w:w="960"/>
          </w:tcPr>
          <w:p>
            <w:pPr>
              <w:spacing w:line="276" w:lineRule="auto"/>
            </w:pPr>
            <w:r>
              <w:t>0.185</w:t>
            </w:r>
          </w:p>
        </w:tc>
        <w:tc>
          <w:tcPr>
            <w:tcW w:type="dxa" w:w="960"/>
          </w:tcPr>
          <w:p>
            <w:pPr>
              <w:spacing w:line="276" w:lineRule="auto"/>
            </w:pPr>
            <w:r>
              <w:t>0.214</w:t>
            </w:r>
          </w:p>
        </w:tc>
      </w:tr>
      <w:tr>
        <w:tc>
          <w:tcPr>
            <w:tcW w:type="dxa" w:w="960"/>
          </w:tcPr>
          <w:p>
            <w:pPr>
              <w:spacing w:line="276" w:lineRule="auto"/>
            </w:pPr>
            <w:r>
              <w:t>Prognostic_score</w:t>
            </w:r>
          </w:p>
        </w:tc>
        <w:tc>
          <w:tcPr>
            <w:tcW w:type="dxa" w:w="960"/>
          </w:tcPr>
          <w:p>
            <w:pPr>
              <w:spacing w:line="276" w:lineRule="auto"/>
            </w:pPr>
            <w:r>
              <w:t>0.01536</w:t>
            </w:r>
          </w:p>
        </w:tc>
        <w:tc>
          <w:tcPr>
            <w:tcW w:type="dxa" w:w="960"/>
          </w:tcPr>
          <w:p>
            <w:pPr>
              <w:spacing w:line="276" w:lineRule="auto"/>
            </w:pPr>
            <w:r>
              <w:t>0.00531</w:t>
            </w:r>
          </w:p>
        </w:tc>
        <w:tc>
          <w:tcPr>
            <w:tcW w:type="dxa" w:w="960"/>
          </w:tcPr>
          <w:p>
            <w:pPr>
              <w:spacing w:line="276" w:lineRule="auto"/>
            </w:pPr>
            <w:r>
              <w:t>0.281</w:t>
            </w:r>
          </w:p>
        </w:tc>
        <w:tc>
          <w:tcPr>
            <w:tcW w:type="dxa" w:w="960"/>
          </w:tcPr>
          <w:p>
            <w:pPr>
              <w:spacing w:line="276" w:lineRule="auto"/>
            </w:pPr>
            <w:r>
              <w:t>0.230</w:t>
            </w:r>
          </w:p>
        </w:tc>
        <w:tc>
          <w:tcPr>
            <w:tcW w:type="dxa" w:w="960"/>
          </w:tcPr>
          <w:p>
            <w:pPr>
              <w:spacing w:line="276" w:lineRule="auto"/>
            </w:pPr>
            <w:r>
              <w:t>0.01762</w:t>
            </w:r>
          </w:p>
        </w:tc>
        <w:tc>
          <w:tcPr>
            <w:tcW w:type="dxa" w:w="960"/>
          </w:tcPr>
          <w:p>
            <w:pPr>
              <w:spacing w:line="276" w:lineRule="auto"/>
            </w:pPr>
            <w:r>
              <w:t>0.00442</w:t>
            </w:r>
          </w:p>
        </w:tc>
        <w:tc>
          <w:tcPr>
            <w:tcW w:type="dxa" w:w="960"/>
          </w:tcPr>
          <w:p>
            <w:pPr>
              <w:spacing w:line="276" w:lineRule="auto"/>
            </w:pPr>
            <w:r>
              <w:t>0.178</w:t>
            </w:r>
          </w:p>
        </w:tc>
        <w:tc>
          <w:tcPr>
            <w:tcW w:type="dxa" w:w="960"/>
          </w:tcPr>
          <w:p>
            <w:pPr>
              <w:spacing w:line="276" w:lineRule="auto"/>
            </w:pPr>
            <w:r>
              <w:t>0.247</w:t>
            </w:r>
          </w:p>
        </w:tc>
      </w:tr>
      <w:tr>
        <w:tc>
          <w:tcPr>
            <w:tcW w:type="dxa" w:w="960"/>
          </w:tcPr>
          <w:p>
            <w:pPr>
              <w:spacing w:line="276" w:lineRule="auto"/>
            </w:pPr>
            <w:r>
              <w:t>2B_clustering</w:t>
            </w:r>
          </w:p>
        </w:tc>
        <w:tc>
          <w:tcPr>
            <w:tcW w:type="dxa" w:w="960"/>
          </w:tcPr>
          <w:p>
            <w:pPr>
              <w:spacing w:line="276" w:lineRule="auto"/>
            </w:pPr>
            <w:r>
              <w:t>0.02077</w:t>
            </w:r>
          </w:p>
        </w:tc>
        <w:tc>
          <w:tcPr>
            <w:tcW w:type="dxa" w:w="960"/>
          </w:tcPr>
          <w:p>
            <w:pPr>
              <w:spacing w:line="276" w:lineRule="auto"/>
            </w:pPr>
            <w:r>
              <w:t>0.00573</w:t>
            </w:r>
          </w:p>
        </w:tc>
        <w:tc>
          <w:tcPr>
            <w:tcW w:type="dxa" w:w="960"/>
          </w:tcPr>
          <w:p>
            <w:pPr>
              <w:spacing w:line="276" w:lineRule="auto"/>
            </w:pPr>
            <w:r>
              <w:t>0.028</w:t>
            </w:r>
          </w:p>
        </w:tc>
        <w:tc>
          <w:tcPr>
            <w:tcW w:type="dxa" w:w="960"/>
          </w:tcPr>
          <w:p>
            <w:pPr>
              <w:spacing w:line="276" w:lineRule="auto"/>
            </w:pPr>
            <w:r>
              <w:t>0.514</w:t>
            </w:r>
          </w:p>
        </w:tc>
        <w:tc>
          <w:tcPr>
            <w:tcW w:type="dxa" w:w="960"/>
          </w:tcPr>
          <w:p>
            <w:pPr>
              <w:spacing w:line="276" w:lineRule="auto"/>
            </w:pPr>
            <w:r>
              <w:t>0.01649</w:t>
            </w:r>
          </w:p>
        </w:tc>
        <w:tc>
          <w:tcPr>
            <w:tcW w:type="dxa" w:w="960"/>
          </w:tcPr>
          <w:p>
            <w:pPr>
              <w:spacing w:line="276" w:lineRule="auto"/>
            </w:pPr>
            <w:r>
              <w:t>0.00540</w:t>
            </w:r>
          </w:p>
        </w:tc>
        <w:tc>
          <w:tcPr>
            <w:tcW w:type="dxa" w:w="960"/>
          </w:tcPr>
          <w:p>
            <w:pPr>
              <w:spacing w:line="276" w:lineRule="auto"/>
            </w:pPr>
            <w:r>
              <w:t>0.230</w:t>
            </w:r>
          </w:p>
        </w:tc>
        <w:tc>
          <w:tcPr>
            <w:tcW w:type="dxa" w:w="960"/>
          </w:tcPr>
          <w:p>
            <w:pPr>
              <w:spacing w:line="276" w:lineRule="auto"/>
            </w:pPr>
            <w:r>
              <w:t>0.182</w:t>
            </w:r>
          </w:p>
        </w:tc>
      </w:tr>
    </w:tbl>
    <w:p>
      <w:pPr>
        <w:spacing w:before="240" w:line="480" w:lineRule="auto"/>
      </w:pPr>
      <w:r/>
      <w:r>
        <w:rPr>
          <w:i/>
        </w:rPr>
        <w:t>Table 7. Linear versus non-linear Z-to-X mapping: random-effects ATE bias and relative bias reduction (n=2000, K=5, z=1.0, zx=1.0).</w:t>
      </w:r>
      <w:r/>
    </w:p>
    <w:p>
      <w:pPr>
        <w:spacing w:line="480" w:lineRule="auto"/>
      </w:pPr>
      <w:r>
        <w:t>Figure 5 illustrates the non-linear Z-to-X robustness results.</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1"/>
        <w:spacing w:line="480" w:lineRule="auto"/>
      </w:pPr>
      <w:r>
        <w:t>4. Discussion</w:t>
      </w:r>
    </w:p>
    <w:p>
      <w:pPr>
        <w:pStyle w:val="Heading2"/>
        <w:spacing w:line="480" w:lineRule="auto"/>
      </w:pPr>
      <w:r>
        <w:t>Principal findings</w:t>
      </w:r>
    </w:p>
    <w:p>
      <w:pPr>
        <w:spacing w:line="480" w:lineRule="auto"/>
      </w:pPr>
      <w:r>
        <w:t>This study frames Incoherence-Oriented Neutralisation and Extraction (IONE) as an exploratory diagnostic for hidden effect modification in individual participant data (IPD) meta-analysis. Two main findings emerge.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pPr>
        <w:spacing w:line="480" w:lineRule="auto"/>
      </w:pPr>
      <w:r>
        <w:t>Despite the modest recovery of the true partition, the best data-driven method reduced the crude ATE bias from 0.01865 to 0.00816 (relative reduction 0.563) with DerSimonian-Laird random-effects pooling. This additional reduction over a fixed-effect summary shows why stratum-specific effects should be allowed to vary once hidden heterogeneity has been flagged.</w:t>
      </w:r>
    </w:p>
    <w:p>
      <w:pPr>
        <w:pStyle w:val="Heading2"/>
        <w:spacing w:line="480" w:lineRule="auto"/>
      </w:pPr>
      <w:r>
        <w:t>Detection versus extraction</w:t>
      </w:r>
    </w:p>
    <w:p>
      <w:pPr>
        <w:spacing w:line="480" w:lineRule="auto"/>
      </w:pPr>
      <w:r>
        <w:t xml:space="preserve">A two-tier interpretation is useful. Detection asks whether the pooled population is incoherent with respect to the treatment effect; C1 and W address this without requiring the analyst to specify hidden subgroups. If C1 is low and </w:t>
      </w:r>
      <m:oMath>
        <m:sSub>
          <m:e>
            <m:r>
              <m:t xml:space="preserve">W</m:t>
            </m:r>
          </m:e>
          <m:sub>
            <m:r>
              <m:t xml:space="preserve">est</m:t>
            </m:r>
          </m:sub>
        </m:sSub>
      </m:oMath>
      <w:r>
        <w:t xml:space="preserve"> is low, the marginal summary should be interpreted cautiously. Extraction then attempts to recover the hidden subgroups. Extraction is much harder than detection: even when C1 signals heterogeneity, discovered strata often do not align closely with the true hidden structure. IONE's practical value therefore lies primarily in detection and partial ATE improvement, not in perfect confounding adjustment.</w:t>
      </w:r>
    </w:p>
    <w:p>
      <w:pPr>
        <w:pStyle w:val="Heading2"/>
        <w:spacing w:line="480" w:lineRule="auto"/>
      </w:pPr>
      <w:r>
        <w:t>Comparison with existing methods</w:t>
      </w:r>
    </w:p>
    <w:p>
      <w:pPr>
        <w:spacing w:line="480" w:lineRule="auto"/>
      </w:pPr>
      <w:r>
        <w:t>IONE differs from established confounding adjustment methods in its objectives and assumptions. Propensity-score methods [19] and prognostic-score stratification [20] aim to balance or adjust for measured confounders; they are not designed to detect unmeasured population structure. The high-dimensional propensity-score algorithm [23] shares IONE's insight that proxy variables may carry information about unmeasured confounders, but it uses this information to improve propensity-score estimation rather than to identify subgroups or report a coherence diagnostic. Latent class analysis [27] seeks hidden subgroups but typically requires strong distributional assumptions and does not provide a transparent between-stratum heterogeneity statistic analogous to C1.</w:t>
      </w:r>
    </w:p>
    <w:p>
      <w:pPr>
        <w:spacing w:line="480" w:lineRule="auto"/>
      </w:pPr>
      <w:r>
        <w:t>IONE is best understood as complementary: it can be applied before or alongside a conventional IPD meta-analysis, and standard adjustment methods can then be applied within each stratum.</w:t>
      </w:r>
    </w:p>
    <w:p>
      <w:pPr>
        <w:pStyle w:val="Heading2"/>
        <w:spacing w:line="480" w:lineRule="auto"/>
      </w:pPr>
      <w:r>
        <w:t>Strengths and limitations</w:t>
      </w:r>
    </w:p>
    <w:p>
      <w:pPr>
        <w:spacing w:line="480" w:lineRule="auto"/>
      </w:pPr>
      <w:r/>
      <w:r>
        <w:rPr>
          <w:b/>
        </w:rPr>
        <w:t>Strengths.</w:t>
      </w:r>
      <w:r>
        <w:t xml:space="preserve"> The study followed the ADEMP framework [29], reported the data-generating mechanism and estimands transparently, and generated all numerical results from version-controlled repository scripts.</w:t>
      </w:r>
    </w:p>
    <w:p>
      <w:pPr>
        <w:spacing w:line="480" w:lineRule="auto"/>
      </w:pPr>
      <w:r/>
      <w:r>
        <w:rPr>
          <w:b/>
        </w:rPr>
        <w:t>Limitations.</w:t>
      </w:r>
      <w:r>
        <w:t xml:space="preserve"> Several limitations should be acknowledged. First, the primary scenario used a single total sample size (n=2000) and a moderate Z-&gt;X trace, although additional sensitivity analyses examined n=500 to 10 000, Z-to-Y effect scales, Z-to-X influence scales and a non-linear Z-&gt;X mapping.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with main effects of X and A and their interaction. If the outcome model is misspecified, </w:t>
      </w:r>
      <m:oMath>
        <m:sSub>
          <m:e>
            <m:r>
              <m:t xml:space="preserve">W</m:t>
            </m:r>
          </m:e>
          <m:sub>
            <m:r>
              <m:t xml:space="preserve">est</m:t>
            </m:r>
          </m:sub>
        </m:sSub>
      </m:oMath>
      <w:r>
        <w:t xml:space="preserve"> may be misleading. Fourth, the DerSimonian-Laird synthesis treats discovered strata as if they were independent studies; because strata are derived from the same data set, the stratum estimates are not independent and the </w:t>
      </w:r>
      <m:oMath>
        <m:sSup>
          <m:e>
            <m:r>
              <m:t xml:space="preserve">τ</m:t>
            </m:r>
          </m:e>
          <m:sup>
            <m:r>
              <m:t xml:space="preserve">2</m:t>
            </m:r>
          </m:sup>
        </m:sSup>
      </m:oMath>
      <w:r>
        <w:t xml:space="preserve"> and </w:t>
      </w:r>
      <m:oMath>
        <m:sSup>
          <m:e>
            <m:r>
              <m:t xml:space="preserve">I</m:t>
            </m:r>
          </m:e>
          <m:sup>
            <m:r>
              <m:t xml:space="preserve">2</m:t>
            </m:r>
          </m:sup>
        </m:sSup>
      </m:oMath>
      <w:r>
        <w:t xml:space="preserve"> values should be viewed as summaries rather than as estimates of conventional between-study heterogeneity. Fifth, C1 is computed from stratum-specific log odds ratios while ATE bias is on the risk-difference scale; a low C1 is a signal of incoherence but does not directly quantify the magnitude of ATE bias. Sixth, the semi-synthetic illustrations use aggregate published data reconstructed as pseudo-individual records; they demonstrate favourable and unfavourable settings for stratification but are not validation in real individual-level IPD.</w:t>
      </w:r>
    </w:p>
    <w:p>
      <w:pPr>
        <w:pStyle w:val="Heading1"/>
        <w:spacing w:line="480" w:lineRule="auto"/>
      </w:pPr>
      <w:r>
        <w:t>5. Conclusions</w:t>
      </w:r>
    </w:p>
    <w:p>
      <w:pPr>
        <w:spacing w:line="480" w:lineRule="auto"/>
      </w:pPr>
      <w:r>
        <w:t>IONE (Incoherence-Oriented Neutralisation and Extraction) is an exploratory diagnostic for hidden effect modification in IPD meta-analysis. Monte Carlo simulation and semi-synthetic examples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listing all Python dependencies, fixed random seeds for every scenario, and a </w:t>
      </w:r>
      <w:r>
        <w:rPr>
          <w:rFonts w:ascii="Courier New" w:hAnsi="Courier New"/>
        </w:rPr>
        <w:t>generate_summary.py</w:t>
      </w:r>
      <w:r>
        <w:t xml:space="preserve"> script that reproduces the CSV summaries from which the manuscript numbers are drawn. Running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in a Python 3.11 environment regenerates the main manuscript docx, tables docx and figure files. An archived release with a Zenodo DOI will be created before acceptance to satisfy long-term reproducibility requirements. The published aggregate datasets used for the semi-synthetic illustrations are referenced in the original publications [14][15][16][17][18].</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and the four extended sensitivity tables are provided in </w:t>
      </w:r>
      <w:r>
        <w:rPr>
          <w:rFonts w:ascii="Courier New" w:hAnsi="Courier New"/>
        </w:rPr>
        <w:t>biostatistics_supplementary_v3.docx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between August 2025 and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VanderWeele TJ, Shpitser I. On the definition of a confounder. Ann Stat. 2013;41(1):196–220.</w:t>
      </w:r>
    </w:p>
    <w:p>
      <w:pPr>
        <w:spacing w:line="480" w:lineRule="auto"/>
      </w:pPr>
      <w:r>
        <w:t>[10] Simpson EH. The interpretation of interaction in contingency tables. J R Stat Soc Ser B. 1951;13(2):238–241.</w:t>
      </w:r>
    </w:p>
    <w:p>
      <w:pPr>
        <w:spacing w:line="480" w:lineRule="auto"/>
      </w:pPr>
      <w:r>
        <w:t>[11] Rojanaworarit C. Misleading epidemiological and statistical evidence in the presence of Simpson's paradox: an illustrative study using simulated scenarios. J Med Life. 2020;13(1):37–44.</w:t>
      </w:r>
    </w:p>
    <w:p>
      <w:pPr>
        <w:spacing w:line="480" w:lineRule="auto"/>
      </w:pPr>
      <w:r>
        <w:t>[12] VanderWeele TJ, Knol MJ. A tutorial on interaction. Epidemiol Methods. 2014;3(1):33–72.</w:t>
      </w:r>
    </w:p>
    <w:p>
      <w:pPr>
        <w:spacing w:line="480" w:lineRule="auto"/>
      </w:pPr>
      <w:r>
        <w:t>[13] Robinson WS. Ecological correlations and the behavior of individuals. Am Sociol Rev. 1950;15(3):351–357.</w:t>
      </w:r>
    </w:p>
    <w:p>
      <w:pPr>
        <w:spacing w:line="480" w:lineRule="auto"/>
      </w:pPr>
      <w:r>
        <w:t>[14] Charig CR, Webb DR, Payne SR, Wickham JE. Comparison of treatment of renal calculi by open surgery, percutaneous nephrolithotomy, and extracorporeal shockwave lithotripsy. BMJ. 1986;292(6521):879–882.</w:t>
      </w:r>
    </w:p>
    <w:p>
      <w:pPr>
        <w:spacing w:line="480" w:lineRule="auto"/>
      </w:pPr>
      <w:r>
        <w:t>[15] Bickel PJ, Hammel EA, O'Connell JW. Sex bias in graduate admissions: data from Berkeley. Science. 1975;187(4175):398–404.</w:t>
      </w:r>
    </w:p>
    <w:p>
      <w:pPr>
        <w:spacing w:line="480" w:lineRule="auto"/>
      </w:pPr>
      <w:r>
        <w:t>[16] von Kügelgen J, Gresele L, Schölkopf B. Simpson's paradox in Covid-19 case fatality rates: a mediation analysis of age-related causal effects. IEEE Trans Artif Intell. 2021;2(1):18–27.</w:t>
      </w:r>
    </w:p>
    <w:p>
      <w:pPr>
        <w:spacing w:line="480" w:lineRule="auto"/>
      </w:pPr>
      <w:r>
        <w:t>[17] Morris JS. Israeli data: how can efficacy vs. severe disease be strong when 60% of hospitalized are vaccinated? 2021. Available from: https://www.covid-datascience.com/post/israeli-data-how-can-efficacy-vs-severe-disease-be-strong-when-60-of-hospitalized-are-vaccinated</w:t>
      </w:r>
    </w:p>
    <w:p>
      <w:pPr>
        <w:spacing w:line="480" w:lineRule="auto"/>
      </w:pPr>
      <w:r>
        <w:t>[18] Appleton DR, French NR, Vanderpump MP. Ignoring a covariate: an example of Simpson's paradox. Am Stat. 1996;50(4):340–341.</w:t>
      </w:r>
    </w:p>
    <w:p>
      <w:pPr>
        <w:spacing w:line="480" w:lineRule="auto"/>
      </w:pPr>
      <w:r>
        <w:t>[19] Rosenbaum PR, Rubin DB. The central role of the propensity score in observational studies for causal effects. Biometrika. 1983;70(1):41–55.</w:t>
      </w:r>
    </w:p>
    <w:p>
      <w:pPr>
        <w:spacing w:line="480" w:lineRule="auto"/>
      </w:pPr>
      <w:r>
        <w:t>[20] Hansen BB. The prognostic analogue of the propensity score. Biometrika. 2008;95(2):481–488.</w:t>
      </w:r>
    </w:p>
    <w:p>
      <w:pPr>
        <w:spacing w:line="480" w:lineRule="auto"/>
      </w:pPr>
      <w:r>
        <w:t>[21] Miettinen OS. Stratification by a multivariate confounder score. Am J Epidemiol. 1976;104(6):609–620.</w:t>
      </w:r>
    </w:p>
    <w:p>
      <w:pPr>
        <w:spacing w:line="480" w:lineRule="auto"/>
      </w:pPr>
      <w:r>
        <w:t>[22] Angrist JD, Imbens GW, Rubin DB. Identification of causal effects using instrumental variables. J Am Stat Assoc. 1996;91(434):444–455.</w:t>
      </w:r>
    </w:p>
    <w:p>
      <w:pPr>
        <w:spacing w:line="480" w:lineRule="auto"/>
      </w:pPr>
      <w:r>
        <w:t>[23] Schneeweiss S, Rassen JA, Glynn RJ, Avorn J, Mogun H, Brookhart MA. High-dimensional propensity score adjustment in studies of treatment effects using health care claims data. Epidemiology. 2009;20(4):512–522.</w:t>
      </w:r>
    </w:p>
    <w:p>
      <w:pPr>
        <w:spacing w:line="480" w:lineRule="auto"/>
      </w:pPr>
      <w:r>
        <w:t>[24] Rassen JA, Schneeweiss S. Using high-dimensional propensity scores to automate confounding control in a distributed medical product safety surveillance system. Pharmacoepidemiol Drug Saf. 2012;21(S1):41–49.</w:t>
      </w:r>
    </w:p>
    <w:p>
      <w:pPr>
        <w:spacing w:line="480" w:lineRule="auto"/>
      </w:pPr>
      <w:r>
        <w:t>[25] Wyss R, Schneeweiss S, van der Laan M, Lendle SD, Ju C, Franklin JM. Machine learning for improving high-dimensional proxy confounder adjustment in healthcare database studies. Stat Med. 2018;37(8):1310–1324.</w:t>
      </w:r>
    </w:p>
    <w:p>
      <w:pPr>
        <w:spacing w:line="480" w:lineRule="auto"/>
      </w:pPr>
      <w:r>
        <w:t>[26] Tchetgen Tchetgen EJ, Ying A, Cui Y, Shi X, Miao W. An introduction to proximal causal inference. Stat Sci. 2024;39(3):375–390.</w:t>
      </w:r>
    </w:p>
    <w:p>
      <w:pPr>
        <w:spacing w:line="480" w:lineRule="auto"/>
      </w:pPr>
      <w:r>
        <w:t>[27] McLachlan GJ, Peel D. Finite Mixture Models. New York: Wiley; 2000.</w:t>
      </w:r>
    </w:p>
    <w:p>
      <w:pPr>
        <w:spacing w:line="480" w:lineRule="auto"/>
      </w:pPr>
      <w:r>
        <w:t>[28] Hayes-Larson E, Kezios KL, Mooney SJ, Lovasi G. Who is in this study, anyway? Guidelines for a useful Table 1. J Clin Epidemiol. 2019;114:125–132.</w:t>
      </w:r>
    </w:p>
    <w:p>
      <w:pPr>
        <w:spacing w:line="480" w:lineRule="auto"/>
      </w:pPr>
      <w:r>
        <w:t>[29] Morris TP, White IR, Crowther MJ. Using simulation studies to evaluate statistical methods. Stat Med. 2019;38(11):2074–2102.</w:t>
      </w:r>
    </w:p>
    <w:p>
      <w:pPr>
        <w:spacing w:line="480" w:lineRule="auto"/>
      </w:pPr>
      <w:r>
        <w:t>[30]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