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(C1 and W) for hidden effect modification in individual participant data meta-analysis: the IONE framework and a simulation study</w:t>
      </w:r>
    </w:p>
    <w:p>
      <w:r>
        <w:br w:type="page"/>
      </w:r>
    </w:p>
    <w:p>
      <w:pPr>
        <w:pStyle w:val="Heading1"/>
      </w:pPr>
      <w:r>
        <w:t>Abstract</w:t>
      </w:r>
    </w:p>
    <w:p>
      <w:r/>
      <w:r>
        <w:rPr>
          <w:b/>
        </w:rPr>
        <w:t>Background:</w:t>
      </w:r>
      <w:r>
        <w:t xml:space="preserve"> In IPD meta-analysis, marginal treatment-effect estimates can be biased when hidden effect modifiers are ignored. We propose two coherence diagnostics, C1 (between-stratum heterogeneity) and W (within-stratum homogeneity), and evaluate them within Incoherence-Oriented Neutralisation and Extraction (IONE), an exploratory diagnostic framework for hidden effect modification.</w:t>
      </w:r>
    </w:p>
    <w:p>
      <w:r/>
      <w:r>
        <w:rPr>
          <w:b/>
        </w:rPr>
        <w:t>Methods:</w:t>
      </w:r>
      <w:r>
        <w:t xml:space="preserve"> We simulated an IPD meta-analysis with 10 studies, a binary treatment and outcome, measured covariates carrying traces of an unmeasured modifier, and study-level variation in baseline risk and treatment prevalence. Proposed and comparator methods stratified the pooled IPD; stratum-specific risk differences were synthesised with fixed-effect and DerSimonian-Laird random-effects meta-analysis. We report ARI, C1, </w:t>
      </w:r>
      <m:oMath>
        <m:sSub>
          <m:e>
            <m:r>
              <m:t xml:space="preserve">W</m:t>
            </m:r>
          </m:e>
          <m:sub>
            <m:r>
              <m:t xml:space="preserve">true</m:t>
            </m:r>
          </m:sub>
        </m:sSub>
      </m:oMath>
      <w:r>
        <w:t xml:space="preserve">/</w:t>
      </w:r>
      <m:oMath>
        <m:sSub>
          <m:e>
            <m:r>
              <m:t xml:space="preserve">W</m:t>
            </m:r>
          </m:e>
          <m:sub>
            <m:r>
              <m:t xml:space="preserve">est</m:t>
            </m:r>
          </m:sub>
        </m:sSub>
      </m:oMath>
      <w:r>
        <w:t xml:space="preserve"> and ATE bias reduction with Monte Carlo standard errors, and we examined the empirical null distribution of the diagnostics and the sensitivity of </w:t>
      </w:r>
      <m:oMath>
        <m:sSub>
          <m:e>
            <m:r>
              <m:t xml:space="preserve">W</m:t>
            </m:r>
          </m:e>
          <m:sub>
            <m:r>
              <m:t xml:space="preserve">est</m:t>
            </m:r>
          </m:sub>
        </m:sSub>
      </m:oMath>
      <w:r>
        <w:t xml:space="preserve"> to outcome-model misspecification.</w:t>
      </w:r>
    </w:p>
    <w:p>
      <w:r/>
      <w:r>
        <w:rPr>
          <w:b/>
        </w:rPr>
        <w:t>Results:</w:t>
      </w:r>
      <w:r>
        <w:t xml:space="preserve"> In the primary scenario (n=2000, 10 studies, K=5 strata), the best method by ATE bias reduction was 1B_residual (ARI 0.032;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recovery of the true hidden structure remained modest. Under the null of no true effect modification, C1 and </w:t>
      </w:r>
      <m:oMath>
        <m:sSub>
          <m:e>
            <m:r>
              <m:t xml:space="preserve">W</m:t>
            </m:r>
          </m:e>
          <m:sub>
            <m:r>
              <m:t xml:space="preserve">est</m:t>
            </m:r>
          </m:sub>
        </m:sSub>
      </m:oMath>
      <w:r>
        <w:t xml:space="preserve"> were distributed close to their chance-reference values; a main-effects outcome model inflated </w:t>
      </w:r>
      <m:oMath>
        <m:sSub>
          <m:e>
            <m:r>
              <m:t xml:space="preserve">W</m:t>
            </m:r>
          </m:e>
          <m:sub>
            <m:r>
              <m:t xml:space="preserve">est</m:t>
            </m:r>
          </m:sub>
        </m:sSub>
      </m:oMath>
      <w:r>
        <w:t xml:space="preserve">, whereas the default interaction model was robust. Sensitivity analyses showed that bias reduction depends most on sample size and effect-modification strength, and the diagnostics remained informative under non-linear covariate mappings.</w:t>
      </w:r>
    </w:p>
    <w:p>
      <w:r/>
      <w:r>
        <w:rPr>
          <w:b/>
        </w:rPr>
        <w:t>Conclusions:</w:t>
      </w:r>
      <w:r>
        <w:t xml:space="preserve"> IONE is a transparent diagnostic flag for hidden effect modification in IPD meta-analyses. It should be reported alongside conventional models and covariate adjustment, not used as a replacement for rigorous causal inference.</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improve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miss effect modifiers that are unmeasured or omitted </w:t>
      </w:r>
      <w:r>
        <w:rPr>
          <w:vertAlign w:val="superscript"/>
        </w:rPr>
        <w:t>[7]</w:t>
      </w:r>
      <w:r/>
      <w:r>
        <w:rPr>
          <w:vertAlign w:val="superscript"/>
        </w:rPr>
        <w:t>[8]</w:t>
      </w:r>
      <w:r>
        <w:t xml:space="preserve">. When the pooled population is a mixture of subgroups with different treatment effects, the marginal effect can reverse or mislead within strata, producing Simpson-type paradoxes </w:t>
      </w:r>
      <w:r>
        <w:rPr>
          <w:vertAlign w:val="superscript"/>
        </w:rPr>
        <w:t>[9]</w:t>
      </w:r>
      <w:r/>
      <w:r>
        <w:rPr>
          <w:vertAlign w:val="superscript"/>
        </w:rPr>
        <w:t>[10]</w:t>
      </w:r>
      <w:r>
        <w:t>.</w:t>
      </w:r>
    </w:p>
    <w:p>
      <w:r>
        <w:t>IPD meta-analysis offers subgroup analyses, meta-regression and one-stage mixed models, but these explain heterogeneity through measured covariates and study-level factors. They do not test whether the pooled participants themselves form internally homogeneous subpopulations with respect to the treatment effect. We therefore frame Incoherence-Oriented Neutralisation and Extraction (IONE) as an exploratory diagnostic: it flags when a marginal summary may be fragile and, when incoherence is indicated, extracts more homogeneous subgroups from multivariate patterns in measured variables. "Neutralisation" means reducing the misleading influence of a marginal summary by separating it into coherent subpopulations.</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methods—propensity scores </w:t>
      </w:r>
      <w:r>
        <w:rPr>
          <w:vertAlign w:val="superscript"/>
        </w:rPr>
        <w:t>[16]</w:t>
      </w:r>
      <w:r>
        <w:t xml:space="preserve">, prognostic scores </w:t>
      </w:r>
      <w:r>
        <w:rPr>
          <w:vertAlign w:val="superscript"/>
        </w:rPr>
        <w:t>[17]</w:t>
      </w:r>
      <w:r>
        <w:t xml:space="preserve">, disease-risk scores </w:t>
      </w:r>
      <w:r>
        <w:rPr>
          <w:vertAlign w:val="superscript"/>
        </w:rPr>
        <w:t>[18]</w:t>
      </w:r>
      <w:r>
        <w:t xml:space="preserve">, instrumental variables </w:t>
      </w:r>
      <w:r>
        <w:rPr>
          <w:vertAlign w:val="superscript"/>
        </w:rPr>
        <w:t>[19]</w:t>
      </w:r>
      <w:r>
        <w:t xml:space="preserve"> and high-dimensional propensity scores </w:t>
      </w:r>
      <w:r>
        <w:rPr>
          <w:vertAlign w:val="superscript"/>
        </w:rPr>
        <w:t>[20]</w:t>
      </w:r>
      <w:r>
        <w:t xml:space="preserve">—adjust for measured confounders but do not detect unmeasured population structure. Proximal causal inference and latent-class models use proxy variables </w:t>
      </w:r>
      <w:r>
        <w:rPr>
          <w:vertAlign w:val="superscript"/>
        </w:rPr>
        <w:t>[21]</w:t>
      </w:r>
      <w:r/>
      <w:r>
        <w:rPr>
          <w:vertAlign w:val="superscript"/>
        </w:rPr>
        <w:t>[22]</w:t>
      </w:r>
      <w:r>
        <w:t xml:space="preserve"> but do not report a transparent between-stratum heterogeneity diagnostic.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w:t>
      </w:r>
    </w:p>
    <w:p>
      <w:pPr>
        <w:pStyle w:val="Heading1"/>
      </w:pPr>
      <w:r>
        <w:t>2. Methods</w:t>
      </w:r>
    </w:p>
    <w:p>
      <w:r>
        <w:t xml:space="preserve">This simulation study follows the ADEMP framework </w:t>
      </w:r>
      <w:r>
        <w:rPr>
          <w:vertAlign w:val="superscript"/>
        </w:rPr>
        <w:t>[23]</w:t>
      </w:r>
      <w:r>
        <w:t>.</w:t>
      </w:r>
    </w:p>
    <w:p>
      <w:pPr>
        <w:pStyle w:val="Heading2"/>
      </w:pPr>
      <w:r>
        <w:t>Aims</w:t>
      </w:r>
    </w:p>
    <w:p>
      <w:r>
        <w:t>Evaluate whether stratification of pooled IPD can recover hidden subgroup structure; compare outcome-informed IONE methods with outcome-free and established comparators; assess whether C1 and W diagnose hidden effect modification; quantify ATE bias reduction from fixed-effect and DerSimonian-Laird random-effects synthesis of stratum-specific risk differences; and identify data-generating conditions under which the diagnostics are most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[16]</w:t>
      </w:r>
      <w:r>
        <w:t xml:space="preserve">, Gaussian mixture model on X </w:t>
      </w:r>
      <w:r>
        <w:rPr>
          <w:vertAlign w:val="superscript"/>
        </w:rPr>
        <w:t>[22]</w:t>
      </w:r>
      <w:r>
        <w:t xml:space="preserve">, prognostic-score stratification (untreated-only Y~X) </w:t>
      </w:r>
      <w:r>
        <w:rPr>
          <w:vertAlign w:val="superscript"/>
        </w:rPr>
        <w:t>[17]</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Neutralisation</w:t>
      </w:r>
      <w:r>
        <w:t xml:space="preserve"> reduces the misleading influence of a marginal summary by extracting coherent subpopulations.</w:t>
      </w:r>
    </w:p>
    <w:p>
      <w:r>
        <w:t xml:space="preserve">Three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 C1 is computed from stratum-specific log odds ratios while ATE bias is on the risk-difference scale, so C1 is an indirect diagnostic.</w:t>
      </w:r>
    </w:p>
    <w:p>
      <w:pPr>
        <w:pStyle w:val="Heading2"/>
      </w:pPr>
      <w:r>
        <w:t>Evaluation metrics</w:t>
      </w:r>
    </w:p>
    <w:p>
      <w:r/>
      <w:r>
        <w:rPr>
          <w:b/>
        </w:rPr>
        <w:t>ARI</w:t>
      </w:r>
      <w:r>
        <w:t xml:space="preserve"> </w:t>
      </w:r>
      <w:r>
        <w:rPr>
          <w:vertAlign w:val="superscript"/>
        </w:rPr>
        <w:t>[24]</w:t>
      </w:r>
      <w:r>
        <w:t xml:space="preserve">: agreement between estimated strata and a true-Z partition, corrected for chance. </w:t>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xml:space="preserve">; lower C1 indicates stronger between-stratum heterogeneity. </w:t>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w:t>
      </w:r>
      <m:oMath>
        <m:sSub>
          <m:e>
            <m:r>
              <m:t xml:space="preserve">W</m:t>
            </m:r>
          </m:e>
          <m:sub>
            <m:r>
              <m:t xml:space="preserve">est</m:t>
            </m:r>
          </m:sub>
        </m:sSub>
      </m:oMath>
      <w:r>
        <w:t xml:space="preserve"> requires a correctly specified outcome model. </w:t>
      </w:r>
      <w:r>
        <w:rPr>
          <w:b/>
        </w:rPr>
        <w:t>ATE bias reduction:</w:t>
      </w:r>
      <w:r>
        <w:t xml:space="preserve"> absolute differences between crude, stratified and random-effects estimates, plus relative ratios. Monte Carlo SE and 95% CI accompany every mean. The true-Z partition is a k-means clustering of standardised Z-space with K strata.</w:t>
      </w:r>
    </w:p>
    <w:p>
      <w:pPr>
        <w:pStyle w:val="Heading2"/>
      </w:pPr>
      <w:r>
        <w:t xml:space="preserve">Empirical null distribution of C1 and </w:t>
      </w:r>
      <m:oMath>
        <m:sSub>
          <m:e>
            <m:r>
              <m:t xml:space="preserve">W</m:t>
            </m:r>
          </m:e>
          <m:sub>
            <m:r>
              <m:t xml:space="preserve">est</m:t>
            </m:r>
          </m:sub>
        </m:sSub>
      </m:oMath>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conservative method-specific thresholds for flagging incoherence.</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Because the published counts cover approximately 6.5 million people, we used a stratified random down-sample of 100,000 records preserving the age- and vaccination-specific hospitalisation rates; this gives a rare-outcome example. Pseudo-general variables mimicked proxies of the known confounder and K was chosen from {2, 3, min(K_true,4), K_true} as the value maximising ARI. These are illustrations, not real-IPD validation.</w:t>
      </w:r>
    </w:p>
    <w:p>
      <w:pPr>
        <w:pStyle w:val="Heading2"/>
      </w:pPr>
      <w:r>
        <w:t>Reporting and reproducibility</w:t>
      </w:r>
    </w:p>
    <w:p>
      <w:r>
        <w:t xml:space="preserve">The design followed ADEMP </w:t>
      </w:r>
      <w:r>
        <w:rPr>
          <w:vertAlign w:val="superscript"/>
        </w:rPr>
        <w:t>[23]</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Recovery of the true hidden structure was modest (Oracle ARI 0.372; best non-Oracle 1B_residual 0.032). Methods closer to the Oracle had C1 nearer to 1 and higher W, while random stratification yielded C1 0.883;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bias reduction was for 1B_residual: crude 0.01865, stratified 0.01345 (relative 0.279) and random-effects 0.00816 (relative 0.563). For comparison, random-effects pooling across the true study identifiers (i.e. a study-level meta-analysis) gave an absolute ATE bias of 0.01568 (reduction 0.00296 from crude 0.01865). Pooling strata with DerSimonian-Laird improved over the fixed-effect summary, showing that stratum-specific effects should be allowed to vary.</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with stratification, yet recovery of the true age groups from multivariate covariate patterns remained modest.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largest relative reductions for leading methods occurred at n = 10 000. The outcome-residual method showed a floor near 0.008-0.009, so its relative reduction decreased with 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This study frames IONE as an exploratory diagnostic for hidden effect modification in IPD meta-analysis. C1 and W signal whether a pooled IPD contains hidden effect modification: methods that captured more true Z structure produced lower C1 and higher W. Extraction of the true partition was harder (Oracle ARI 0.372; best non-Oracle 1B_residual 0.032), but the best data-driven method reduced crude ATE bias from 0.01865 to 0.00816 (relative reduction 0.563) with DerSimonian-Laird pooling. This shows that stratum-specific effects should be allowed to vary once incoherence is flagged.</w:t>
      </w:r>
    </w:p>
    <w:p>
      <w:pPr>
        <w:pStyle w:val="Heading2"/>
      </w:pPr>
      <w:r>
        <w:t>Detection versus extraction</w:t>
      </w:r>
    </w:p>
    <w:p>
      <w:r>
        <w:t xml:space="preserve">Detection asks whether the pooled population is incoherent; C1 and W address this without requiring hidden subgroups to be specified. If C1 is low and </w:t>
      </w:r>
      <m:oMath>
        <m:sSub>
          <m:e>
            <m:r>
              <m:t xml:space="preserve">W</m:t>
            </m:r>
          </m:e>
          <m:sub>
            <m:r>
              <m:t xml:space="preserve">est</m:t>
            </m:r>
          </m:sub>
        </m:sSub>
      </m:oMath>
      <w:r>
        <w:t xml:space="preserve"> is low, the marginal summary should be interpreted cautiously. Extraction attempts to recover hidden subgroups, but it is much harder than detection. IONE's practical value therefore lies in detection and partial ATE improvement, not in perfect confounding adjustment.</w:t>
      </w:r>
    </w:p>
    <w:p>
      <w:pPr>
        <w:pStyle w:val="Heading2"/>
      </w:pPr>
      <w:r>
        <w:t>Comparison with existing methods</w:t>
      </w:r>
    </w:p>
    <w:p>
      <w:r>
        <w:t xml:space="preserve">Propensity-score </w:t>
      </w:r>
      <w:r>
        <w:rPr>
          <w:vertAlign w:val="superscript"/>
        </w:rPr>
        <w:t>[16]</w:t>
      </w:r>
      <w:r>
        <w:t xml:space="preserve"> and prognostic-score </w:t>
      </w:r>
      <w:r>
        <w:rPr>
          <w:vertAlign w:val="superscript"/>
        </w:rPr>
        <w:t>[17]</w:t>
      </w:r>
      <w:r>
        <w:t xml:space="preserve"> methods adjust for measured confounders but do not detect unmeasured population structure. The high-dimensional propensity-score algorithm </w:t>
      </w:r>
      <w:r>
        <w:rPr>
          <w:vertAlign w:val="superscript"/>
        </w:rPr>
        <w:t>[20]</w:t>
      </w:r>
      <w:r>
        <w:t xml:space="preserve"> uses proxies to improve propensity-score estimation, not to identify subgroups or report a coherence diagnostic. Latent-class models </w:t>
      </w:r>
      <w:r>
        <w:rPr>
          <w:vertAlign w:val="superscript"/>
        </w:rPr>
        <w:t>[22]</w:t>
      </w:r>
      <w:r>
        <w:t xml:space="preserve"> seek hidden subgroups but require strong distributional assumptions and do not provide a transparent between-stratum heterogeneity statistic like C1.</w:t>
      </w:r>
    </w:p>
    <w:p>
      <w:pPr>
        <w:pStyle w:val="Heading2"/>
      </w:pPr>
      <w:r>
        <w:t>Relevance to Biostatistics readers</w:t>
      </w:r>
    </w:p>
    <w:p>
      <w:r>
        <w:t xml:space="preserve">IONE sits between heterogeneity diagnostics and model-based effect modification in IPD meta-analysis. C1 re-purposes </w:t>
      </w:r>
      <m:oMath>
        <m:sSup>
          <m:e>
            <m:r>
              <m:t xml:space="preserve">I</m:t>
            </m:r>
          </m:e>
          <m:sup>
            <m:r>
              <m:t xml:space="preserve">2</m:t>
            </m:r>
          </m:sup>
        </m:sSup>
      </m:oMath>
      <w:r>
        <w:t xml:space="preserve"> for discovered strata and W connects the partition to explained CATE variance; both are descriptive sensitivity flags, not inferential tests. The empirical null distribution (Supplementary Table S5) calibrates the diagnostics under no true effect modification, and the misspecification sensitivity (Supplementary Table S6) checks robustness of </w:t>
      </w:r>
      <m:oMath>
        <m:sSub>
          <m:e>
            <m:r>
              <m:t xml:space="preserve">W</m:t>
            </m:r>
          </m:e>
          <m:sub>
            <m:r>
              <m:t xml:space="preserve">est</m:t>
            </m:r>
          </m:sub>
        </m:sSub>
      </m:oMath>
      <w:r>
        <w:t xml:space="preserve"> to the outcome-model specification. IONE is best used alongside conventional IPD meta-analysis, with standard adjustment applied within strata.</w:t>
      </w:r>
    </w:p>
    <w:p>
      <w:pPr>
        <w:pStyle w:val="Heading2"/>
      </w:pPr>
      <w:r>
        <w:t>Strengths and limitations</w:t>
      </w:r>
    </w:p>
    <w:p>
      <w:r/>
      <w:r>
        <w:rPr>
          <w:b/>
        </w:rPr>
        <w:t>Strengths.</w:t>
      </w:r>
      <w:r>
        <w:t xml:space="preserve"> The study followed ADEMP </w:t>
      </w:r>
      <w:r>
        <w:rPr>
          <w:vertAlign w:val="superscript"/>
        </w:rPr>
        <w:t>[23]</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Z-&gt;X trace; sensitivity analyses examined n=500 to 10 000, Z-to-Y and Z-to-X scales, and a non-linear mapping, but performance may vary with stronger/weaker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mislead (Supplementary Table S6). DerSimonian-Laird strata are not independent estimates, so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illustrate settings, not real-IPD validation.</w:t>
      </w:r>
    </w:p>
    <w:p>
      <w:pPr>
        <w:pStyle w:val="Heading1"/>
      </w:pPr>
      <w:r>
        <w:t>5. Conclusions</w:t>
      </w:r>
    </w:p>
    <w:p>
      <w:r>
        <w:t>IONE (Incoherence-Oriented Neutralisation and Extraction) is an exploratory diagnostic framework for hidden effect modification in IPD meta-analysis. Monte Carlo simulation and semi-synthetic examples show that the C1 and W diagnostics can flag incoherence; when hidden variables leave strong traces in measured covariates, stratification can partially reduce ATE bias, but extraction of the true hidden partition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biostatistics_supplementary_v3.docx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Rosenbaum PR, Rubin DB. The central role of the propensity score in observational studies for causal effects. Biometrika. 1983;70(1):41–55.</w:t>
      </w:r>
    </w:p>
    <w:p>
      <w:r>
        <w:t>[17] Hansen BB. The prognostic analogue of the propensity score. Biometrika. 2008;95(2):481–488.</w:t>
      </w:r>
    </w:p>
    <w:p>
      <w:r>
        <w:t>[18] Miettinen OS. Stratification by a multivariate confounder score. Am J Epidemiol. 1976;104(6):609–620.</w:t>
      </w:r>
    </w:p>
    <w:p>
      <w:r>
        <w:t>[19] Angrist JD, Imbens GW, Rubin DB. Identification of causal effects using instrumental variables. J Am Stat Assoc. 1996;91(434):444–455.</w:t>
      </w:r>
    </w:p>
    <w:p>
      <w:r>
        <w:t>[20] Schneeweiss S, Rassen JA, Glynn RJ, Avorn J, Mogun H, Brookhart MA. High-dimensional propensity score adjustment in studies of treatment effects using health care claims data. Epidemiology. 2009;20(4):512–522.</w:t>
      </w:r>
    </w:p>
    <w:p>
      <w:r>
        <w:t>[21] Tchetgen Tchetgen EJ, Ying A, Cui Y, Shi X, Miao W. An introduction to proximal causal inference. Stat Sci. 2024;39(3):375–390.</w:t>
      </w:r>
    </w:p>
    <w:p>
      <w:r>
        <w:t>[22] McLachlan GJ, Peel D. Finite Mixture Models. New York: Wiley; 2000.</w:t>
      </w:r>
    </w:p>
    <w:p>
      <w:r>
        <w:t>[23] Morris TP, White IR, Crowther MJ. Using simulation studies to evaluate statistical methods. Stat Med. 2019;38(11):2074–2102.</w:t>
      </w:r>
    </w:p>
    <w:p>
      <w:r>
        <w:t>[24]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