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Editor,</w:t>
      </w:r>
    </w:p>
    <w:p>
      <w:r>
        <w:t xml:space="preserve">We are pleased to submit our manuscript, </w:t>
      </w:r>
      <w:r>
        <w:rPr>
          <w:b/>
        </w:rPr>
        <w:t>"Coherence diagnostics (C1 and W) for hidden effect modification in individual participant data meta-analysis: the IONE framework and a simulation study"</w:t>
      </w:r>
      <w:r>
        <w:t xml:space="preserve">, for consideration by </w:t>
      </w:r>
      <w:r>
        <w:rPr>
          <w:i/>
        </w:rPr>
        <w:t>Biostatistics</w:t>
      </w:r>
      <w:r>
        <w:t>.</w:t>
      </w:r>
    </w:p>
    <w:p>
      <w:pPr>
        <w:pStyle w:val="Heading1"/>
      </w:pPr>
      <w:r>
        <w:t>Why *Biostatistics* is the right venue</w:t>
      </w:r>
    </w:p>
    <w:p>
      <w:r>
        <w:t>The paper addresses a methodological problem at the heart of modern biostatistics: how to diagnose hidden effect modification when individual participant data are pooled across studies. We frame the problem as an exploratory IPD meta-analysis problem, propose two coherence diagnostics (C1 and W), and evaluate them through Monte Carlo simulation and semi-synthetic illustrations. The work therefore fits the journal's scope of statistical methods with direct application to health and disease data, rather than being a disease-specific clinical study.</w:t>
      </w:r>
    </w:p>
    <w:p>
      <w:pPr>
        <w:pStyle w:val="Heading1"/>
      </w:pPr>
      <w:r>
        <w:t>What the paper contributes</w:t>
      </w:r>
    </w:p>
    <w:p>
      <w:pPr>
        <w:pStyle w:val="ListNumber"/>
      </w:pPr>
      <w:r/>
      <w:r>
        <w:rPr>
          <w:b/>
        </w:rPr>
        <w:t>A diagnostic toolkit, not a black-box estimator.</w:t>
      </w:r>
      <w:r>
        <w:t xml:space="preserve"> IONE separates two tasks: detecting whether a marginal IPD summary is incoherent with respect to a conditional treatment effect, and extracting coherent subpopulations when covariate traces of hidden modifiers are available. We formalise this through C1 (between-stratum heterogeneity) and W (within-stratum homogeneity), and show how they relate to ATE bias reduction on the risk-difference scale.</w:t>
      </w:r>
    </w:p>
    <w:p>
      <w:pPr>
        <w:pStyle w:val="ListNumber"/>
      </w:pPr>
      <w:r/>
      <w:r>
        <w:rPr>
          <w:b/>
        </w:rPr>
        <w:t>IPD meta-analysis framing.</w:t>
      </w:r>
      <w:r>
        <w:t xml:space="preserve"> The motivating examples and the simulation design are presented as a two-stage IPD meta-analysis: first stratification, then DerSimonian-Laird random-effects synthesis. We explicitly discuss why strata are not independent study estimates and how the resulting </w:t>
      </w:r>
      <m:oMath>
        <m:sSup>
          <m:e>
            <m:r>
              <m:t xml:space="preserve">τ</m:t>
            </m:r>
          </m:e>
          <m:sup>
            <m:r>
              <m:t xml:space="preserve">2</m:t>
            </m:r>
          </m:sup>
        </m:sSup>
      </m:oMath>
      <w:r>
        <w:t xml:space="preserve"> and standard errors should be interpreted.</w:t>
      </w:r>
    </w:p>
    <w:p>
      <w:pPr>
        <w:pStyle w:val="ListNumber"/>
      </w:pPr>
      <w:r/>
      <w:r>
        <w:rPr>
          <w:b/>
        </w:rPr>
        <w:t>Empirical calibration and misspecification checks.</w:t>
      </w:r>
      <w:r>
        <w:t xml:space="preserve"> We report the empirical null distribution of C1 and W under no true effect modification (Supplementary Table S5) and a sensitivity analysis of </w:t>
      </w:r>
      <m:oMath>
        <m:sSub>
          <m:e>
            <m:r>
              <m:t xml:space="preserve">W</m:t>
            </m:r>
          </m:e>
          <m:sub>
            <m:r>
              <m:t xml:space="preserve">est</m:t>
            </m:r>
          </m:sub>
        </m:sSub>
      </m:oMath>
      <w:r>
        <w:t xml:space="preserve"> to outcome-model specification (Supplementary Table S6). These additions help readers interpret the diagnostics as flags rather than as formal tests.</w:t>
      </w:r>
    </w:p>
    <w:p>
      <w:pPr>
        <w:pStyle w:val="ListNumber"/>
      </w:pPr>
      <w:r/>
      <w:r>
        <w:rPr>
          <w:b/>
        </w:rPr>
        <w:t>Transparent, reproducible simulation.</w:t>
      </w:r>
      <w:r>
        <w:t xml:space="preserve"> Every numerical result is read from CSV summary files produced by a public repository (https://github.com/bougtoir/ione-stratification-framework). The repository contains the data-generating code, fixed random seeds, all scenario definitions, a </w:t>
      </w:r>
      <w:r>
        <w:rPr>
          <w:rFonts w:ascii="Courier New" w:hAnsi="Courier New"/>
        </w:rPr>
        <w:t>requirements.txt</w:t>
      </w:r>
      <w:r>
        <w:t xml:space="preserve"> and </w:t>
      </w:r>
      <w:r>
        <w:rPr>
          <w:rFonts w:ascii="Courier New" w:hAnsi="Courier New"/>
        </w:rPr>
        <w:t>requirements-lock.txt</w:t>
      </w:r>
      <w:r>
        <w:t xml:space="preserve"> file, and the manuscript generator itself. The commit hash used to build the submission package is recorded in </w:t>
      </w:r>
      <w:r>
        <w:rPr>
          <w:rFonts w:ascii="Courier New" w:hAnsi="Courier New"/>
        </w:rPr>
        <w:t>results/commit_hash.txt</w:t>
      </w:r>
      <w:r>
        <w:t>. A Zenodo archive with a DOI will be created before acceptance.</w:t>
      </w:r>
    </w:p>
    <w:p>
      <w:pPr>
        <w:pStyle w:val="Heading1"/>
      </w:pPr>
      <w:r>
        <w:t>How we have addressed likely reviewer concerns</w:t>
      </w:r>
    </w:p>
    <w:p>
      <w:pPr>
        <w:pStyle w:val="ListBullet"/>
      </w:pPr>
      <w:r/>
      <w:r>
        <w:rPr>
          <w:b/>
        </w:rPr>
        <w:t>Diagnostic framing.</w:t>
      </w:r>
      <w:r>
        <w:t xml:space="preserve"> The title, abstract and conclusions now frame IONE as a diagnostic flag for hidden effect modification, not as a guaranteed adjustment method. The limitations section states this explicitly.</w:t>
      </w:r>
    </w:p>
    <w:p>
      <w:pPr>
        <w:pStyle w:val="ListBullet"/>
      </w:pPr>
      <w:r/>
      <w:r>
        <w:rPr>
          <w:b/>
        </w:rPr>
        <w:t>Supplementary materials.</w:t>
      </w:r>
      <w:r>
        <w:t xml:space="preserve"> The Additional files, the list of abbreviations, the extended sensitivity tables (K selection, sample size, Z-to-X and Z-to-Y effects), the empirical null-distribution table and the </w:t>
      </w:r>
      <m:oMath>
        <m:sSub>
          <m:e>
            <m:r>
              <m:t xml:space="preserve">W</m:t>
            </m:r>
          </m:e>
          <m:sub>
            <m:r>
              <m:t xml:space="preserve">est</m:t>
            </m:r>
          </m:sub>
        </m:sSub>
      </m:oMath>
      <w:r>
        <w:t xml:space="preserve"> misspecification table are collected in </w:t>
      </w:r>
      <w:r>
        <w:rPr>
          <w:rFonts w:ascii="Courier New" w:hAnsi="Courier New"/>
        </w:rPr>
        <w:t>biostatistics_supplementary_v3.docx</w:t>
      </w:r>
      <w:r>
        <w:t>. The main manuscript references them at the appropriate points.</w:t>
      </w:r>
    </w:p>
    <w:p>
      <w:pPr>
        <w:pStyle w:val="ListBullet"/>
      </w:pPr>
      <w:r/>
      <w:r>
        <w:rPr>
          <w:b/>
        </w:rPr>
        <w:t>Definitions and caveats.</w:t>
      </w:r>
      <w:r>
        <w:t xml:space="preserve"> The term "neutralisation" is defined explicitly in the Methods, the DerSimonian-Laird within-stratum dependence caveat is discussed, and the "Bias reduction" column in Table 2 is defined as an absolute difference.</w:t>
      </w:r>
    </w:p>
    <w:p>
      <w:pPr>
        <w:pStyle w:val="ListBullet"/>
      </w:pPr>
      <w:r/>
      <w:r>
        <w:rPr>
          <w:b/>
        </w:rPr>
        <w:t>Reproducibility.</w:t>
      </w:r>
      <w:r>
        <w:t xml:space="preserve"> We have expanded the Data/Code Availability and AI declarations, added a </w:t>
      </w:r>
      <w:r>
        <w:rPr>
          <w:rFonts w:ascii="Courier New" w:hAnsi="Courier New"/>
        </w:rPr>
        <w:t>requirements-lock.txt</w:t>
      </w:r>
      <w:r>
        <w:t xml:space="preserve"> file and a </w:t>
      </w:r>
      <w:r>
        <w:rPr>
          <w:rFonts w:ascii="Courier New" w:hAnsi="Courier New"/>
        </w:rPr>
        <w:t>results/commit_hash.txt</w:t>
      </w:r>
      <w:r>
        <w:t xml:space="preserve"> record, and kept all manuscript numbers reproducible from repository CSVs.</w:t>
      </w:r>
    </w:p>
    <w:p>
      <w:pPr>
        <w:pStyle w:val="ListBullet"/>
      </w:pPr>
      <w:r/>
      <w:r>
        <w:rPr>
          <w:b/>
        </w:rPr>
        <w:t>Figures and tables.</w:t>
      </w:r>
      <w:r>
        <w:t xml:space="preserve"> All figures and tables are cited in order in the main text, and the separate </w:t>
      </w:r>
      <w:r>
        <w:rPr>
          <w:rFonts w:ascii="Courier New" w:hAnsi="Courier New"/>
        </w:rPr>
        <w:t>biostatistics_tables_separate.docx</w:t>
      </w:r>
      <w:r>
        <w:t xml:space="preserve"> and </w:t>
      </w:r>
      <w:r>
        <w:rPr>
          <w:rFonts w:ascii="Courier New" w:hAnsi="Courier New"/>
        </w:rPr>
        <w:t>biostatistics_figures.pptx</w:t>
      </w:r>
      <w:r>
        <w:t xml:space="preserve"> files provide editable versions.</w:t>
      </w:r>
    </w:p>
    <w:p>
      <w:r>
        <w:t xml:space="preserve">We hope that readers of </w:t>
      </w:r>
      <w:r>
        <w:rPr>
          <w:i/>
        </w:rPr>
        <w:t>Biostatistics</w:t>
      </w:r>
      <w:r>
        <w:t xml:space="preserve"> will find the framework useful as a sensitivity step when reporting IPD meta-analyses.</w:t>
      </w:r>
    </w:p>
    <w:p>
      <w:r>
        <w:t>Sincerely,</w:t>
      </w:r>
    </w:p>
    <w:p>
      <w:r>
        <w:t>Onishi Tatsuki</w:t>
      </w:r>
    </w:p>
    <w:p>
      <w:r>
        <w:t>Data Science AI Innovation Research Promotion Center, Shiga University</w:t>
      </w:r>
    </w:p>
    <w:p>
      <w:r>
        <w:t>bougtoir@gmail.com</w:t>
      </w:r>
    </w:p>
    <w:p>
      <w:r>
        <w:t>ORCID: 0000-0001-7261-9062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