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left"/>
      </w:pPr>
      <w:r>
        <w:t>IONE: Coherence diagnostics for hidden effect modification in individual participant data meta-analysis</w:t>
      </w:r>
    </w:p>
    <w:p>
      <w:pPr>
        <w:spacing w:line="480" w:lineRule="auto"/>
      </w:pPr>
      <w:r>
        <w:br w:type="page"/>
      </w:r>
    </w:p>
    <w:p>
      <w:pPr>
        <w:pStyle w:val="Heading1"/>
        <w:spacing w:line="480" w:lineRule="auto"/>
      </w:pPr>
      <w:r>
        <w:t>Abstract</w:t>
      </w:r>
    </w:p>
    <w:p>
      <w:pPr>
        <w:spacing w:line="480" w:lineRule="auto"/>
      </w:pPr>
      <w:r/>
      <w:r>
        <w:rPr>
          <w:b/>
        </w:rPr>
        <w:t>Background:</w:t>
      </w:r>
      <w:r>
        <w:t xml:space="preserve"> In individual participant data (IPD) meta-analysis, marginal effect estimates can be biased by hidden effect modifiers. We introduce two coherence diagnostics, C1 and W, and present a reproducible simulation benchmark of seven stratification approaches.</w:t>
      </w:r>
    </w:p>
    <w:p>
      <w:pPr>
        <w:spacing w:line="480" w:lineRule="auto"/>
      </w:pPr>
      <w:r/>
      <w:r>
        <w:rPr>
          <w:b/>
        </w:rPr>
        <w:t>Methods:</w:t>
      </w:r>
      <w:r>
        <w:t xml:space="preserve"> We simulated an IPD meta-analysis with 10 studies and n=2000 participants, binary treatment and outcome, measured covariates carrying traces of an unmeasured modifier, and study-level variation in baseline risk and treatment prevalence. Seven methods—two outcome-informed, two outcome-free, propensity-score, prognostic-score and Gaussian-mixture stratification—were compared; stratum-specific risk differences were synthesised with fixed-effect and DerSimonian-Laird random-effects meta-analysis. We report ARI, C1, W and ATE bias reduction, calibrating the diagnostics against empirical null distributions.</w:t>
      </w:r>
    </w:p>
    <w:p>
      <w:pPr>
        <w:spacing w:line="480" w:lineRule="auto"/>
      </w:pPr>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The residual-based method achieved the largest random-effects ATE bias reduction (from 0.01865 to 0.00816; relative reduction 0.563). Its absolute bias plateaued near 0.00824 (n=500), 0.00852 (n=2000) and 0.00864 (n=10 000), indicating a structural bias floor that persists as sample size increases.</w:t>
      </w:r>
    </w:p>
    <w:p>
      <w:pPr>
        <w:spacing w:line="480" w:lineRule="auto"/>
      </w:pPr>
      <w:r/>
      <w:r>
        <w:rPr>
          <w:b/>
        </w:rPr>
        <w:t>Conclusions:</w:t>
      </w:r>
      <w:r>
        <w:t xml:space="preserve"> IONE is a descriptive sensitivity framework, not an inferential test for hidden effect modification. The benchmark shows that data-driven stratification can reduce marginal ATE bias when measured covariates carry strong traces of hidden effect modification, but C1 and W must be interpreted relative to method-specific empirical nulls and are not standalone decision criteria.</w:t>
      </w:r>
    </w:p>
    <w:p>
      <w:pPr>
        <w:spacing w:line="480" w:lineRule="auto"/>
      </w:pPr>
      <w:r/>
      <w:r>
        <w:rPr>
          <w:b/>
        </w:rPr>
        <w:t>Keywords:</w:t>
      </w:r>
      <w:r>
        <w:t xml:space="preserve"> individual participant data meta-analysis; evidence synthesis; heterogeneity; hidden effect modification; stratification; simulation</w:t>
      </w:r>
    </w:p>
    <w:p>
      <w:pPr>
        <w:spacing w:line="480" w:lineRule="auto"/>
      </w:pPr>
      <w:r>
        <w:br w:type="page"/>
      </w:r>
    </w:p>
    <w:p>
      <w:pPr>
        <w:pStyle w:val="Heading1"/>
        <w:spacing w:line="480" w:lineRule="auto"/>
      </w:pPr>
      <w:r>
        <w:t>1. Introduction</w:t>
      </w:r>
    </w:p>
    <w:p>
      <w:pPr>
        <w:spacing w:line="480" w:lineRule="auto"/>
      </w:pPr>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pPr>
        <w:spacing w:line="480" w:lineRule="auto"/>
      </w:pPr>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aim is not to recover hidden variables, but to flag marginal summaries that may be misleading when the IPD contains hidden effect modification.</w:t>
      </w:r>
    </w:p>
    <w:p>
      <w:pPr>
        <w:spacing w:line="480" w:lineRule="auto"/>
      </w:pPr>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use IONE with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conditional average treatment effect (CATE) variance explained by the stratification. Stratum-specific risk differences are synthesised with fixed-effect or DerSimonian-Laird random-effects meta-analysis. C1 measures coherence within the formed strata; W is a ratio whose denominator is the overall CATE variance and is therefore unstable when the modification signal is weak.</w:t>
      </w:r>
    </w:p>
    <w:p>
      <w:pPr>
        <w:spacing w:line="480" w:lineRule="auto"/>
      </w:pPr>
      <w:r>
        <w:t>Because the finite-sample distributions of discovered-stratum risk differences depend on the unknown joint distribution of unmeasured modifiers and measured covariates, closed-form theoretical comparisons of the competing stratification methods are not available. We therefore use an ADEMP-based simulation benchmark to quantify relative performance and the operating characteristics of C1 and W.</w:t>
      </w:r>
    </w:p>
    <w:p>
      <w:pPr>
        <w:pStyle w:val="Heading1"/>
        <w:spacing w:line="480" w:lineRule="auto"/>
      </w:pPr>
      <w:r>
        <w:t>2. Methods</w:t>
      </w:r>
    </w:p>
    <w:p>
      <w:pPr>
        <w:spacing w:line="480" w:lineRule="auto"/>
      </w:pPr>
      <w:r>
        <w:t xml:space="preserve">This simulation study follows the ADEMP framework </w:t>
      </w:r>
      <w:r>
        <w:rPr>
          <w:vertAlign w:val="superscript"/>
        </w:rPr>
        <w:t>16</w:t>
      </w:r>
      <w:r>
        <w:t>.</w:t>
      </w:r>
    </w:p>
    <w:p>
      <w:pPr>
        <w:pStyle w:val="Heading2"/>
        <w:spacing w:line="480" w:lineRule="auto"/>
      </w:pPr>
      <w:r>
        <w:t>Aims</w:t>
      </w:r>
    </w:p>
    <w:p>
      <w:pPr>
        <w:spacing w:line="480" w:lineRule="auto"/>
      </w:pPr>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spacing w:line="480" w:lineRule="auto"/>
      </w:pPr>
      <w:r>
        <w:t>IPD data-generating mechanism</w:t>
      </w:r>
    </w:p>
    <w:p>
      <w:pPr>
        <w:spacing w:line="480" w:lineRule="auto"/>
      </w:pPr>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pPr>
        <w:spacing w:line="480" w:lineRule="auto"/>
      </w:pPr>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spacing w:line="480" w:lineRule="auto"/>
      </w:pPr>
      <w:r>
        <w:t>Stratification methods</w:t>
      </w:r>
    </w:p>
    <w:p>
      <w:pPr>
        <w:spacing w:line="480" w:lineRule="auto"/>
      </w:pPr>
      <w:r/>
      <w:r>
        <w:rPr>
          <w:b/>
        </w:rPr>
        <w:t>Proposed Family 1 (outcome-informed).</w:t>
      </w:r>
      <w:r>
        <w:t xml:space="preserve"> Method 1A: predicted probability of Y from logistic Y~X, stratified by quantiles. Method 1B: absolute residual from the same model.</w:t>
      </w:r>
    </w:p>
    <w:p>
      <w:pPr>
        <w:spacing w:line="480" w:lineRule="auto"/>
      </w:pPr>
      <w:r/>
      <w:r>
        <w:rPr>
          <w:b/>
        </w:rPr>
        <w:t>Proposed Family 2 (outcome-free).</w:t>
      </w:r>
      <w:r>
        <w:t xml:space="preserve"> Method 2A: first principal component of standardised X. Method 2B: K-means on standardised X.</w:t>
      </w:r>
    </w:p>
    <w:p>
      <w:pPr>
        <w:spacing w:line="480" w:lineRule="auto"/>
      </w:pPr>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spacing w:line="480" w:lineRule="auto"/>
      </w:pPr>
      <w:r>
        <w:t>Synthesis of stratum-specific effects</w:t>
      </w:r>
    </w:p>
    <w:p>
      <w:pPr>
        <w:spacing w:line="480" w:lineRule="auto"/>
      </w:pPr>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pPr>
        <w:spacing w:line="480" w:lineRule="auto"/>
      </w:pPr>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spacing w:line="480" w:lineRule="auto"/>
      </w:pPr>
      <w:r>
        <w:t>Study-level meta-analysis benchmark</w:t>
      </w:r>
    </w:p>
    <w:p>
      <w:pPr>
        <w:spacing w:line="480" w:lineRule="auto"/>
      </w:pPr>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spacing w:line="480" w:lineRule="auto"/>
      </w:pPr>
      <w:r>
        <w:t>Evaluation metrics</w:t>
      </w:r>
    </w:p>
    <w:p>
      <w:pPr>
        <w:pStyle w:val="Heading3"/>
        <w:spacing w:line="480" w:lineRule="auto"/>
      </w:pPr>
      <w:r>
        <w:t>Formal definitions</w:t>
      </w:r>
    </w:p>
    <w:p>
      <w:pPr>
        <w:spacing w:line="480" w:lineRule="auto"/>
      </w:pPr>
      <w:r>
        <w:t xml:space="preserve">For a stratification with K strata, let </w:t>
      </w:r>
      <m:oMath>
        <m:sSub>
          <m:e>
            <m:r>
              <m:t xml:space="preserve">θ</m:t>
            </m:r>
          </m:e>
          <m:sub>
            <m:r>
              <m:t xml:space="preserve">k</m:t>
            </m:r>
          </m:sub>
        </m:sSub>
      </m:oMath>
      <w:r>
        <w:t xml:space="preserve"> denote the stratum-specific log odds ratio, </w:t>
      </w:r>
      <m:oMath>
        <m:sSup>
          <m:e>
            <m:r>
              <m:t xml:space="preserve">τ</m:t>
            </m:r>
          </m:e>
          <m:sup>
            <m:r>
              <m:t xml:space="preserve">2</m:t>
            </m:r>
          </m:sup>
        </m:sSup>
      </m:oMath>
      <w:r>
        <w:t xml:space="preserve"> the between-stratum variance, and </w:t>
      </w:r>
      <m:oMath>
        <m:sSub>
          <m:e>
            <m:r>
              <m:t xml:space="preserve">v</m:t>
            </m:r>
          </m:e>
          <m:sub>
            <m:r>
              <m:t xml:space="preserve">w</m:t>
            </m:r>
          </m:sub>
        </m:sSub>
      </m:oMath>
      <w:r>
        <w:t xml:space="preserve"> a typical within-stratum sampling variance. Then</w:t>
      </w:r>
    </w:p>
    <w:p>
      <w:pPr>
        <w:spacing w:line="480" w:lineRule="auto"/>
      </w:pPr>
      <m:oMath>
        <m:r>
          <m:t xml:space="preserve">C1 = 1 - </m:t>
        </m:r>
        <m:sSup>
          <m:e>
            <m:r>
              <m:t xml:space="preserve">I</m:t>
            </m:r>
          </m:e>
          <m:sup>
            <m:r>
              <m:t xml:space="preserve">2</m:t>
            </m:r>
          </m:sup>
        </m:sSup>
        <m:r>
          <m:t xml:space="preserve"> = 1 - </m:t>
        </m:r>
        <m:f>
          <m:num>
            <m:sSup>
              <m:e>
                <m:r>
                  <m:t xml:space="preserve">τ</m:t>
                </m:r>
              </m:e>
              <m:sup>
                <m:r>
                  <m:t xml:space="preserve">2</m:t>
                </m:r>
              </m:sup>
            </m:sSup>
          </m:num>
          <m:den>
            <m:sSup>
              <m:e>
                <m:r>
                  <m:t xml:space="preserve">τ</m:t>
                </m:r>
              </m:e>
              <m:sup>
                <m:r>
                  <m:t xml:space="preserve">2</m:t>
                </m:r>
              </m:sup>
            </m:sSup>
            <m:r>
              <m:t xml:space="preserve"> + </m:t>
            </m:r>
            <m:sSub>
              <m:e>
                <m:r>
                  <m:t xml:space="preserve">v</m:t>
                </m:r>
              </m:e>
              <m:sub>
                <m:r>
                  <m:t xml:space="preserve">w</m:t>
                </m:r>
              </m:sub>
            </m:sSub>
          </m:den>
        </m:f>
      </m:oMath>
      <w:r>
        <w:t xml:space="preserve">,</w:t>
      </w:r>
    </w:p>
    <w:p>
      <w:pPr>
        <w:spacing w:line="480" w:lineRule="auto"/>
      </w:pPr>
      <w:r>
        <w:t xml:space="preserve">where lower C1 indicates greater between-stratum heterogeneity of stratum-specific log odds ratios. For estimated individual CATEs </w:t>
      </w:r>
      <m:oMath>
        <m:r>
          <m:t xml:space="preserve">τ(</m:t>
        </m:r>
        <m:sSub>
          <m:e>
            <m:r>
              <m:t xml:space="preserve">X</m:t>
            </m:r>
          </m:e>
          <m:sub>
            <m:r>
              <m:t xml:space="preserve">i</m:t>
            </m:r>
          </m:sub>
        </m:sSub>
        <m:r>
          <m:t xml:space="preserve">)</m:t>
        </m:r>
      </m:oMath>
      <w:r>
        <w:t xml:space="preserve">, let </w:t>
      </w:r>
      <m:oMath>
        <m:sSub>
          <m:e>
            <m:r>
              <m:t xml:space="preserve">τ</m:t>
            </m:r>
          </m:e>
          <m:sub>
            <m:r>
              <m:t xml:space="preserve">k</m:t>
            </m:r>
          </m:sub>
        </m:sSub>
      </m:oMath>
      <w:r>
        <w:t xml:space="preserve"> be the stratum mean and tau the overall mean. The proportion of total CATE variance explained by the stratification is</w:t>
      </w:r>
    </w:p>
    <w:p>
      <w:pPr>
        <w:spacing w:line="480" w:lineRule="auto"/>
      </w:pPr>
      <m:oMath>
        <m:r>
          <m:t xml:space="preserve">W = </m:t>
        </m:r>
        <m:f>
          <m:num>
            <m:sSub>
              <m:e>
                <m:r>
                  <m:t xml:space="preserve">Σ</m:t>
                </m:r>
              </m:e>
              <m:sub>
                <m:r>
                  <m:t xml:space="preserve">k</m:t>
                </m:r>
              </m:sub>
            </m:sSub>
            <m:r>
              <m:t xml:space="preserve"> </m:t>
            </m:r>
            <m:sSub>
              <m:e>
                <m:r>
                  <m:t xml:space="preserve">n</m:t>
                </m:r>
              </m:e>
              <m:sub>
                <m:r>
                  <m:t xml:space="preserve">k</m:t>
                </m:r>
              </m:sub>
            </m:sSub>
            <m:r>
              <m:t xml:space="preserve"> </m:t>
            </m:r>
            <m:sSup>
              <m:e>
                <m:r>
                  <m:t xml:space="preserve">(</m:t>
                </m:r>
                <m:sSub>
                  <m:e>
                    <m:r>
                      <m:t xml:space="preserve">τ</m:t>
                    </m:r>
                  </m:e>
                  <m:sub>
                    <m:r>
                      <m:t xml:space="preserve">k</m:t>
                    </m:r>
                  </m:sub>
                </m:sSub>
                <m:r>
                  <m:t xml:space="preserve"> - </m:t>
                </m:r>
                <m:r>
                  <m:t xml:space="preserve">τ</m:t>
                </m:r>
                <m:r>
                  <m:t xml:space="preserve">)</m:t>
                </m:r>
              </m:e>
              <m:sup>
                <m:r>
                  <m:t xml:space="preserve">2</m:t>
                </m:r>
              </m:sup>
            </m:sSup>
          </m:num>
          <m:den>
            <m:sSub>
              <m:e>
                <m:r>
                  <m:t xml:space="preserve">Σ</m:t>
                </m:r>
              </m:e>
              <m:sub>
                <m:r>
                  <m:t xml:space="preserve">i</m:t>
                </m:r>
              </m:sub>
            </m:sSub>
            <m:r>
              <m:t xml:space="preserve"> </m:t>
            </m:r>
            <m:sSup>
              <m:e>
                <m:r>
                  <m:t xml:space="preserve">(</m:t>
                </m:r>
                <m:sSub>
                  <m:e>
                    <m:r>
                      <m:t xml:space="preserve">τ</m:t>
                    </m:r>
                  </m:e>
                  <m:sub>
                    <m:r>
                      <m:t xml:space="preserve">i</m:t>
                    </m:r>
                  </m:sub>
                </m:sSub>
                <m:r>
                  <m:t xml:space="preserve"> - </m:t>
                </m:r>
                <m:r>
                  <m:t xml:space="preserve">τ</m:t>
                </m:r>
                <m:r>
                  <m:t xml:space="preserve">)</m:t>
                </m:r>
              </m:e>
              <m:sup>
                <m:r>
                  <m:t xml:space="preserve">2</m:t>
                </m:r>
              </m:sup>
            </m:sSup>
          </m:den>
        </m:f>
      </m:oMath>
      <w:r>
        <w:t xml:space="preserve">,</w:t>
      </w:r>
    </w:p>
    <w:p>
      <w:pPr>
        <w:spacing w:line="480" w:lineRule="auto"/>
      </w:pPr>
      <w:r>
        <w:t>where the numerator is the between-stratum variance weighted by stratum size and the denominator is the total variance of estimated individual CATEs. Both C1 and W are descriptive indices; they flag incoherence but are not inferential tests for hidden effect modification.</w:t>
      </w:r>
    </w:p>
    <w:p>
      <w:pPr>
        <w:spacing w:line="480" w:lineRule="auto"/>
      </w:pPr>
      <w:r/>
      <w:r>
        <w:rPr>
          <w:b/>
        </w:rPr>
        <w:t>ARI</w:t>
      </w:r>
      <w:r>
        <w:t xml:space="preserve"> </w:t>
      </w:r>
      <w:r>
        <w:rPr>
          <w:vertAlign w:val="superscript"/>
        </w:rPr>
        <w:t>20</w:t>
      </w:r>
      <w:r>
        <w:t>: agreement between estimated strata and an operational approximation of the true-Z partition, corrected for chance. Because the true hidden modifier is multidimensional and has no unique clinical representation, the reference partition was formed by k-means clustering of standardised Z-space into K strata. ARI therefore measures how well a method recovers this k-means approximation, not recovery of a clinically validated true subgroup structure. Values near zero indicate chance agreement; the Oracle and true-CATE-quantile references provide computational upper bounds relative to this approximation.</w:t>
      </w:r>
    </w:p>
    <w:p>
      <w:pPr>
        <w:spacing w:line="480" w:lineRule="auto"/>
      </w:pPr>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pPr>
        <w:spacing w:line="480" w:lineRule="auto"/>
      </w:pPr>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excess values centred on the empirical null mean (</w:t>
      </w:r>
      <m:oMath>
        <m:sSub>
          <m:e>
            <m:r>
              <m:t xml:space="preserve">C1</m:t>
            </m:r>
          </m:e>
          <m:sub>
            <m:r>
              <m:t xml:space="preserve">excess</m:t>
            </m:r>
          </m:sub>
        </m:sSub>
      </m:oMath>
      <w:r>
        <w:t xml:space="preserve"> and </w:t>
      </w:r>
      <m:oMath>
        <m:sSub>
          <m:e>
            <m:r>
              <m:t xml:space="preserve">W</m:t>
            </m:r>
          </m:e>
          <m:sub>
            <m:r>
              <m:t xml:space="preserve">excess</m:t>
            </m:r>
          </m:sub>
        </m:sSub>
      </m:oMath>
      <w:r>
        <w:t xml:space="preserve">) and include </w:t>
      </w:r>
      <m:oMath>
        <m:sSup>
          <m:e>
            <m:r>
              <m:t xml:space="preserve">η</m:t>
            </m:r>
          </m:e>
          <m:sup>
            <m:r>
              <m:t xml:space="preserve">2</m:t>
            </m:r>
          </m:sup>
        </m:sSup>
      </m:oMath>
      <w:r>
        <w:t xml:space="preserve">, the ratio of between-stratum CATE variance to overall CATE variance, as an alternative scale-free summary.</w:t>
      </w:r>
    </w:p>
    <w:p>
      <w:pPr>
        <w:spacing w:line="480" w:lineRule="auto"/>
      </w:pPr>
      <w:r/>
      <w:r>
        <w:rPr>
          <w:b/>
        </w:rPr>
        <w:t>ATE bias reduction:</w:t>
      </w:r>
      <w:r>
        <w:t xml:space="preserve"> absolute differences between crude, stratified and random-effects estimates, plus relative ratios. Monte Carlo SE and 95% CI accompany every mean.</w:t>
      </w:r>
    </w:p>
    <w:p>
      <w:pPr>
        <w:pStyle w:val="Heading2"/>
        <w:spacing w:line="480" w:lineRule="auto"/>
      </w:pPr>
      <w:r>
        <w:t>Empirical null distribution and null-centred reporting</w:t>
      </w:r>
    </w:p>
    <w:p>
      <w:pPr>
        <w:spacing w:line="480" w:lineRule="auto"/>
      </w:pPr>
      <w:r>
        <w:t xml:space="preserve">We ran 200 additional replications under the primary data-generating mechanism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the Supplementary Material.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spacing w:line="480" w:lineRule="auto"/>
      </w:pPr>
      <m:oMath>
        <m:sSub>
          <m:e>
            <m:r>
              <m:t xml:space="preserve">W</m:t>
            </m:r>
          </m:e>
          <m:sub>
            <m:r>
              <m:t xml:space="preserve">est</m:t>
            </m:r>
          </m:sub>
        </m:sSub>
      </m:oMath>
      <w:r>
        <w:t xml:space="preserve"> outcome-model misspecification sensitivity</w:t>
      </w:r>
    </w:p>
    <w:p>
      <w:pPr>
        <w:spacing w:line="480" w:lineRule="auto"/>
      </w:pPr>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reported in the Supplementary Material.</w:t>
      </w:r>
    </w:p>
    <w:p>
      <w:pPr>
        <w:pStyle w:val="Heading2"/>
        <w:spacing w:line="480" w:lineRule="auto"/>
      </w:pPr>
      <w:r>
        <w:t>Diagnostic calibration using the empirical null</w:t>
      </w:r>
    </w:p>
    <w:p>
      <w:pPr>
        <w:spacing w:line="480" w:lineRule="auto"/>
      </w:pPr>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spacing w:line="480" w:lineRule="auto"/>
      </w:pPr>
      <w:r>
        <w:t>Practical recipes for real individual participant data</w:t>
      </w:r>
    </w:p>
    <w:p>
      <w:pPr>
        <w:spacing w:line="480" w:lineRule="auto"/>
      </w:pPr>
      <w:r>
        <w:t xml:space="preserve">In real IPD studies the empirical null must be reconstructed because the true no-modification DGM is unknown. We recommend three operational recipes. (1) </w:t>
      </w:r>
      <w:r>
        <w:rPr>
          <w:i/>
        </w:rPr>
        <w:t>Permutation null</w:t>
      </w:r>
      <w:r>
        <w:t xml:space="preserve">: randomly permute the treatment indicator within studies and re-compute C1 and </w:t>
      </w:r>
      <m:oMath>
        <m:sSub>
          <m:e>
            <m:r>
              <m:t xml:space="preserve">W</m:t>
            </m:r>
          </m:e>
          <m:sub>
            <m:r>
              <m:t xml:space="preserve">est</m:t>
            </m:r>
          </m:sub>
        </m:sSub>
      </m:oMath>
      <w:r>
        <w:t xml:space="preserve"> for the chosen stratification. This destroys any true treatment-by-covariate interaction while preserving the covariate distribution and study structure; repeating this B = 200–1000 times yields method-specific null percentiles. (2) </w:t>
      </w:r>
      <w:r>
        <w:rPr>
          <w:i/>
        </w:rPr>
        <w:t>Parametric residual null</w:t>
      </w:r>
      <w:r>
        <w:t xml:space="preserve">: fit the no-modification outcome model Y ~ X + A + study indicators to the data, simulate outcomes from the fitted probabilities, and compute the diagnostics on the simulated data. This null is fast and convenient but relies on the correctness of the main-effects model. (3) </w:t>
      </w:r>
      <w:r>
        <w:rPr>
          <w:i/>
        </w:rPr>
        <w:t>Bootstrap null</w:t>
      </w:r>
      <w:r>
        <w:t xml:space="preserve">: resample participants (or study clusters, when studies are few) with replacement, refit the stratification model, and compute C1 and </w:t>
      </w:r>
      <m:oMath>
        <m:sSub>
          <m:e>
            <m:r>
              <m:t xml:space="preserve">W</m:t>
            </m:r>
          </m:e>
          <m:sub>
            <m:r>
              <m:t xml:space="preserve">est</m:t>
            </m:r>
          </m:sub>
        </m:sSub>
      </m:oMath>
      <w:r>
        <w:t xml:space="preserve"> on each bootstrap sample to obtain a sampling null. The excess diagnostics </w:t>
      </w:r>
      <m:oMath>
        <m:sSub>
          <m:e>
            <m:r>
              <m:t xml:space="preserve">C1</m:t>
            </m:r>
          </m:e>
          <m:sub>
            <m:r>
              <m:t xml:space="preserve">excess</m:t>
            </m:r>
          </m:sub>
        </m:sSub>
      </m:oMath>
      <w:r>
        <w:t xml:space="preserve"> and </w:t>
      </w:r>
      <m:oMath>
        <m:sSub>
          <m:e>
            <m:r>
              <m:t xml:space="preserve">W</m:t>
            </m:r>
          </m:e>
          <m:sub>
            <m:r>
              <m:t xml:space="preserve">est excess</m:t>
            </m:r>
          </m:sub>
        </m:sSub>
      </m:oMath>
      <w:r>
        <w:t xml:space="preserve"> are reported as the observed value minus the mean of the chosen null. We report percentiles in Supplementary Table S5 and recommend cross-checking at least two of the three nulls before interpreting a flag.</w:t>
      </w:r>
    </w:p>
    <w:p>
      <w:pPr>
        <w:pStyle w:val="Heading2"/>
        <w:spacing w:line="480" w:lineRule="auto"/>
      </w:pPr>
      <w:r>
        <w:t>True-CATE-quantile oracle reference</w:t>
      </w:r>
    </w:p>
    <w:p>
      <w:pPr>
        <w:spacing w:line="480" w:lineRule="auto"/>
      </w:pPr>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spacing w:line="480" w:lineRule="auto"/>
      </w:pPr>
      <w:r>
        <w:t>Semi-synthetic illustrations</w:t>
      </w:r>
    </w:p>
    <w:p>
      <w:pPr>
        <w:spacing w:line="480" w:lineRule="auto"/>
      </w:pPr>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spacing w:line="480" w:lineRule="auto"/>
      </w:pPr>
      <w:r>
        <w:t>Computational implementation</w:t>
      </w:r>
    </w:p>
    <w:p>
      <w:pPr>
        <w:spacing w:line="480" w:lineRule="auto"/>
      </w:pPr>
      <w:r>
        <w:t xml:space="preserve">All simulations and manuscript generation were implemented in Python using NumPy, SciPy, scikit-learn, pandas, statsmodels and python-docx. The submission package was generated on a Devin-managed VM with 2 vCPUs (INTEL(R) XEON(R) PLATINUM 8559C), 7.8 GB RAM and Python 3.10.12. Pseudo-random numbers were generated with </w:t>
      </w:r>
      <w:r>
        <w:rPr>
          <w:rFonts w:ascii="Courier New" w:hAnsi="Courier New"/>
        </w:rPr>
        <w:t>numpy.random.default_rng</w:t>
      </w:r>
      <w:r>
        <w:t xml:space="preserve">, with independent seeds for each replication and scenario stored in the repository scripts and </w:t>
      </w:r>
      <w:r>
        <w:rPr>
          <w:rFonts w:ascii="Courier New" w:hAnsi="Courier New"/>
        </w:rPr>
        <w:t>results/summary/</w:t>
      </w:r>
      <w:r>
        <w:t xml:space="preserve"> metadata. Stratification used quantile-based equal-frequency bins, k-means clustering (scikit-learn, 10 random initializations, maximum 300 iterations) and Gaussian mixture models (scikit-learn, full covariance, 10 EM initializations, maximum 100 iterations). Logistic regressions were fit with </w:t>
      </w:r>
      <w:r>
        <w:rPr>
          <w:rFonts w:ascii="Courier New" w:hAnsi="Courier New"/>
        </w:rPr>
        <w:t>scikit-learn.linear_model.LogisticRegression</w:t>
      </w:r>
      <w:r>
        <w:t xml:space="preserve"> (L2 penalty, C=1.0, lbfgs solver, maximum 1000 iterations). DerSimonian-Laird random-effects summaries used </w:t>
      </w:r>
      <w:r>
        <w:rPr>
          <w:rFonts w:ascii="Courier New" w:hAnsi="Courier New"/>
        </w:rPr>
        <w:t>statsmodels.stats.meta_analysis</w:t>
      </w:r>
      <w:r>
        <w:t xml:space="preserve">. The primary scenario required approximately 5–10 minutes of wall-clock time on a single modern CPU core; the full benchmark—primary scenario, strata/sample-size/Z-to-X/Z-to-Y sensitivities, 200-replication empirical null, </w:t>
      </w:r>
      <m:oMath>
        <m:sSub>
          <m:e>
            <m:r>
              <m:t xml:space="preserve">W</m:t>
            </m:r>
          </m:e>
          <m:sub>
            <m:r>
              <m:t xml:space="preserve">est</m:t>
            </m:r>
          </m:sub>
        </m:sSub>
      </m:oMath>
      <w:r>
        <w:t xml:space="preserve"> misspecification and semi-synthetic illustrations—completed in approximately 2–3 hours on a single core. Exact dependency versions are pinned in </w:t>
      </w:r>
      <w:r>
        <w:rPr>
          <w:rFonts w:ascii="Courier New" w:hAnsi="Courier New"/>
        </w:rPr>
        <w:t>requirements-lock.txt</w:t>
      </w:r>
      <w:r>
        <w:t xml:space="preserve"> and the code commit used for the submission package is recorded in </w:t>
      </w:r>
      <w:r>
        <w:rPr>
          <w:rFonts w:ascii="Courier New" w:hAnsi="Courier New"/>
        </w:rPr>
        <w:t>results/commit_hash.txt</w:t>
      </w:r>
      <w:r>
        <w:t>.</w:t>
      </w:r>
    </w:p>
    <w:p>
      <w:pPr>
        <w:pStyle w:val="Heading2"/>
        <w:spacing w:line="480" w:lineRule="auto"/>
      </w:pPr>
      <w:r>
        <w:t>Reporting and reproducibility</w:t>
      </w:r>
    </w:p>
    <w:p>
      <w:pPr>
        <w:spacing w:line="480" w:lineRule="auto"/>
      </w:pPr>
      <w:r>
        <w:t xml:space="preserve">The design followed ADEMP </w:t>
      </w:r>
      <w:r>
        <w:rPr>
          <w:vertAlign w:val="superscript"/>
        </w:rPr>
        <w:t>16</w:t>
      </w:r>
      <w:r>
        <w:t xml:space="preserve">; checklists are in Additional files 2 and 3. The pipeline is version-controlled and every manuscript number is read from repository CSV outputs. </w:t>
      </w:r>
      <w:r>
        <w:rPr>
          <w:rFonts w:ascii="Courier New" w:hAnsi="Courier New"/>
        </w:rPr>
        <w:t>generate_summary.py</w:t>
      </w:r>
      <w:r>
        <w:t xml:space="preserve">, </w:t>
      </w:r>
      <w:r>
        <w:rPr>
          <w:rFonts w:ascii="Courier New" w:hAnsi="Courier New"/>
        </w:rPr>
        <w:t>generate_rsm_tables.py</w:t>
      </w:r>
      <w:r>
        <w:t xml:space="preserve"> and </w:t>
      </w:r>
      <w:r>
        <w:rPr>
          <w:rFonts w:ascii="Courier New" w:hAnsi="Courier New"/>
        </w:rPr>
        <w:t>generate_ione_rsm_v3.py</w:t>
      </w:r>
      <w:r>
        <w:t xml:space="preserve"> regenerate all results, figures, tables and submission files in a Python environment with the pinned dependencies.</w:t>
      </w:r>
    </w:p>
    <w:p>
      <w:pPr>
        <w:pStyle w:val="Heading1"/>
        <w:spacing w:line="480" w:lineRule="auto"/>
      </w:pPr>
      <w:r>
        <w:t>3. Results</w:t>
      </w:r>
    </w:p>
    <w:p>
      <w:pPr>
        <w:pStyle w:val="Heading2"/>
        <w:spacing w:line="480" w:lineRule="auto"/>
      </w:pPr>
      <w:r>
        <w:t>Primary IPD scenario</w:t>
      </w:r>
    </w:p>
    <w:p>
      <w:pPr>
        <w:spacing w:line="480" w:lineRule="auto"/>
      </w:pPr>
      <w:r>
        <w:t xml:space="preserve">Table 1 reports the primary scenario (n=2000, 10 studies, K=5). Agreement with the operational k-means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w:t>
      </w:r>
      <m:oMath>
        <m:sSub>
          <m:e>
            <m:r>
              <m:t xml:space="preserve">C1</m:t>
            </m:r>
          </m:e>
          <m:sub>
            <m:r>
              <m:t xml:space="preserve">excess</m:t>
            </m:r>
          </m:sub>
        </m:sSub>
      </m:oMath>
      <w:r>
        <w:t xml:space="preserve"> 0.054; </w:t>
      </w:r>
      <m:oMath>
        <m:sSub>
          <m:e>
            <m:r>
              <m:t xml:space="preserve">W</m:t>
            </m:r>
          </m:e>
          <m:sub>
            <m:r>
              <m:t xml:space="preserve">est excess</m:t>
            </m:r>
          </m:sub>
        </m:sSub>
      </m:oMath>
      <w:r>
        <w:t xml:space="preserve">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spacing w:line="276" w:lineRule="auto"/>
            </w:pPr>
            <w:r>
              <w:rPr>
                <w:b/>
              </w:rPr>
              <w:t>Method</w:t>
            </w:r>
          </w:p>
        </w:tc>
        <w:tc>
          <w:tcPr>
            <w:tcW w:type="dxa" w:w="785"/>
          </w:tcPr>
          <w:p>
            <w:pPr>
              <w:spacing w:line="276" w:lineRule="auto"/>
            </w:pPr>
            <w:r>
              <w:rPr>
                <w:b/>
              </w:rPr>
              <w:t>ARI</w:t>
            </w:r>
          </w:p>
        </w:tc>
        <w:tc>
          <w:tcPr>
            <w:tcW w:type="dxa" w:w="785"/>
          </w:tcPr>
          <w:p>
            <w:pPr>
              <w:spacing w:line="276" w:lineRule="auto"/>
            </w:pPr>
            <w:r>
              <w:rPr>
                <w:b/>
              </w:rPr>
              <w:t>C1</w:t>
            </w:r>
          </w:p>
        </w:tc>
        <w:tc>
          <w:tcPr>
            <w:tcW w:type="dxa" w:w="785"/>
          </w:tcPr>
          <w:p>
            <w:pPr>
              <w:spacing w:line="276" w:lineRule="auto"/>
            </w:pPr>
            <m:oMath>
              <m:sSub>
                <m:e>
                  <m:r>
                    <m:t xml:space="preserve">W</m:t>
                  </m:r>
                </m:e>
                <m:sub>
                  <m:r>
                    <m:t xml:space="preserve">true</m:t>
                  </m:r>
                </m:sub>
              </m:sSub>
            </m:oMath>
          </w:p>
        </w:tc>
        <w:tc>
          <w:tcPr>
            <w:tcW w:type="dxa" w:w="785"/>
          </w:tcPr>
          <w:p>
            <w:pPr>
              <w:spacing w:line="276" w:lineRule="auto"/>
            </w:pPr>
            <m:oMath>
              <m:sSub>
                <m:e>
                  <m:r>
                    <m:t xml:space="preserve">W</m:t>
                  </m:r>
                </m:e>
                <m:sub>
                  <m:r>
                    <m:t xml:space="preserve">est</m:t>
                  </m:r>
                </m:sub>
              </m:sSub>
            </m:oMath>
          </w:p>
        </w:tc>
        <w:tc>
          <w:tcPr>
            <w:tcW w:type="dxa" w:w="785"/>
          </w:tcPr>
          <w:p>
            <w:pPr>
              <w:spacing w:line="276" w:lineRule="auto"/>
            </w:pPr>
            <w:r>
              <w:rPr>
                <w:b/>
              </w:rPr>
              <w:t>Crude bias</w:t>
            </w:r>
          </w:p>
        </w:tc>
        <w:tc>
          <w:tcPr>
            <w:tcW w:type="dxa" w:w="785"/>
          </w:tcPr>
          <w:p>
            <w:pPr>
              <w:spacing w:line="276" w:lineRule="auto"/>
            </w:pPr>
            <w:r>
              <w:rPr>
                <w:b/>
              </w:rPr>
              <w:t>Stratified bias</w:t>
            </w:r>
          </w:p>
        </w:tc>
        <w:tc>
          <w:tcPr>
            <w:tcW w:type="dxa" w:w="785"/>
          </w:tcPr>
          <w:p>
            <w:pPr>
              <w:spacing w:line="276" w:lineRule="auto"/>
            </w:pPr>
            <w:r>
              <w:rPr>
                <w:b/>
              </w:rPr>
              <w:t>RE bias</w:t>
            </w:r>
          </w:p>
        </w:tc>
        <w:tc>
          <w:tcPr>
            <w:tcW w:type="dxa" w:w="785"/>
          </w:tcPr>
          <w:p>
            <w:pPr>
              <w:spacing w:line="276" w:lineRule="auto"/>
            </w:pPr>
            <w:r>
              <w:rPr>
                <w:b/>
              </w:rPr>
              <w:t>Rel reduction strat</w:t>
            </w:r>
          </w:p>
        </w:tc>
        <w:tc>
          <w:tcPr>
            <w:tcW w:type="dxa" w:w="785"/>
          </w:tcPr>
          <w:p>
            <w:pPr>
              <w:spacing w:line="276" w:lineRule="auto"/>
            </w:pPr>
            <w:r>
              <w:rPr>
                <w:b/>
              </w:rPr>
              <w:t>Rel reduction RE</w:t>
            </w:r>
          </w:p>
        </w:tc>
        <w:tc>
          <w:tcPr>
            <w:tcW w:type="dxa" w:w="785"/>
          </w:tcPr>
          <w:p>
            <w:pPr>
              <w:spacing w:line="276" w:lineRule="auto"/>
            </w:pPr>
            <w:r>
              <w:rPr>
                <w:b/>
              </w:rPr>
              <w:t>RE I2</w:t>
            </w:r>
          </w:p>
        </w:tc>
      </w:tr>
      <w:tr>
        <w:tc>
          <w:tcPr>
            <w:tcW w:type="dxa" w:w="785"/>
          </w:tcPr>
          <w:p>
            <w:pPr>
              <w:spacing w:line="276" w:lineRule="auto"/>
            </w:pPr>
            <w:r>
              <w:t>1A_predicted_prob</w:t>
            </w:r>
          </w:p>
        </w:tc>
        <w:tc>
          <w:tcPr>
            <w:tcW w:type="dxa" w:w="785"/>
          </w:tcPr>
          <w:p>
            <w:pPr>
              <w:spacing w:line="276" w:lineRule="auto"/>
            </w:pPr>
            <w:r>
              <w:t>0.029</w:t>
            </w:r>
          </w:p>
        </w:tc>
        <w:tc>
          <w:tcPr>
            <w:tcW w:type="dxa" w:w="785"/>
          </w:tcPr>
          <w:p>
            <w:pPr>
              <w:spacing w:line="276" w:lineRule="auto"/>
            </w:pPr>
            <w:r>
              <w:t>0.891</w:t>
            </w:r>
          </w:p>
        </w:tc>
        <w:tc>
          <w:tcPr>
            <w:tcW w:type="dxa" w:w="785"/>
          </w:tcPr>
          <w:p>
            <w:pPr>
              <w:spacing w:line="276" w:lineRule="auto"/>
            </w:pPr>
            <w:r>
              <w:t>0.352</w:t>
            </w:r>
          </w:p>
        </w:tc>
        <w:tc>
          <w:tcPr>
            <w:tcW w:type="dxa" w:w="785"/>
          </w:tcPr>
          <w:p>
            <w:pPr>
              <w:spacing w:line="276" w:lineRule="auto"/>
            </w:pPr>
            <w:r>
              <w:t>0.111</w:t>
            </w:r>
          </w:p>
        </w:tc>
        <w:tc>
          <w:tcPr>
            <w:tcW w:type="dxa" w:w="785"/>
          </w:tcPr>
          <w:p>
            <w:pPr>
              <w:spacing w:line="276" w:lineRule="auto"/>
            </w:pPr>
            <w:r>
              <w:t>0.01865</w:t>
            </w:r>
          </w:p>
        </w:tc>
        <w:tc>
          <w:tcPr>
            <w:tcW w:type="dxa" w:w="785"/>
          </w:tcPr>
          <w:p>
            <w:pPr>
              <w:spacing w:line="276" w:lineRule="auto"/>
            </w:pPr>
            <w:r>
              <w:t>0.01888</w:t>
            </w:r>
          </w:p>
        </w:tc>
        <w:tc>
          <w:tcPr>
            <w:tcW w:type="dxa" w:w="785"/>
          </w:tcPr>
          <w:p>
            <w:pPr>
              <w:spacing w:line="276" w:lineRule="auto"/>
            </w:pPr>
            <w:r>
              <w:t>0.01352</w:t>
            </w:r>
          </w:p>
        </w:tc>
        <w:tc>
          <w:tcPr>
            <w:tcW w:type="dxa" w:w="785"/>
          </w:tcPr>
          <w:p>
            <w:pPr>
              <w:spacing w:line="276" w:lineRule="auto"/>
            </w:pPr>
            <w:r>
              <w:t>-0.013</w:t>
            </w:r>
          </w:p>
        </w:tc>
        <w:tc>
          <w:tcPr>
            <w:tcW w:type="dxa" w:w="785"/>
          </w:tcPr>
          <w:p>
            <w:pPr>
              <w:spacing w:line="276" w:lineRule="auto"/>
            </w:pPr>
            <w:r>
              <w:t>0.275</w:t>
            </w:r>
          </w:p>
        </w:tc>
        <w:tc>
          <w:tcPr>
            <w:tcW w:type="dxa" w:w="785"/>
          </w:tcPr>
          <w:p>
            <w:pPr>
              <w:spacing w:line="276" w:lineRule="auto"/>
            </w:pPr>
            <w:r>
              <w:t>0.142</w:t>
            </w:r>
          </w:p>
        </w:tc>
      </w:tr>
      <w:tr>
        <w:tc>
          <w:tcPr>
            <w:tcW w:type="dxa" w:w="785"/>
          </w:tcPr>
          <w:p>
            <w:pPr>
              <w:spacing w:line="276" w:lineRule="auto"/>
            </w:pPr>
            <w:r>
              <w:t>1B_residual</w:t>
            </w:r>
          </w:p>
        </w:tc>
        <w:tc>
          <w:tcPr>
            <w:tcW w:type="dxa" w:w="785"/>
          </w:tcPr>
          <w:p>
            <w:pPr>
              <w:spacing w:line="276" w:lineRule="auto"/>
            </w:pPr>
            <w:r>
              <w:t>0.032</w:t>
            </w:r>
          </w:p>
        </w:tc>
        <w:tc>
          <w:tcPr>
            <w:tcW w:type="dxa" w:w="785"/>
          </w:tcPr>
          <w:p>
            <w:pPr>
              <w:spacing w:line="276" w:lineRule="auto"/>
            </w:pPr>
            <w:r>
              <w:t>0.927</w:t>
            </w:r>
          </w:p>
        </w:tc>
        <w:tc>
          <w:tcPr>
            <w:tcW w:type="dxa" w:w="785"/>
          </w:tcPr>
          <w:p>
            <w:pPr>
              <w:spacing w:line="276" w:lineRule="auto"/>
            </w:pPr>
            <w:r>
              <w:t>0.363</w:t>
            </w:r>
          </w:p>
        </w:tc>
        <w:tc>
          <w:tcPr>
            <w:tcW w:type="dxa" w:w="785"/>
          </w:tcPr>
          <w:p>
            <w:pPr>
              <w:spacing w:line="276" w:lineRule="auto"/>
            </w:pPr>
            <w:r>
              <w:t>0.078</w:t>
            </w:r>
          </w:p>
        </w:tc>
        <w:tc>
          <w:tcPr>
            <w:tcW w:type="dxa" w:w="785"/>
          </w:tcPr>
          <w:p>
            <w:pPr>
              <w:spacing w:line="276" w:lineRule="auto"/>
            </w:pPr>
            <w:r>
              <w:t>0.01865</w:t>
            </w:r>
          </w:p>
        </w:tc>
        <w:tc>
          <w:tcPr>
            <w:tcW w:type="dxa" w:w="785"/>
          </w:tcPr>
          <w:p>
            <w:pPr>
              <w:spacing w:line="276" w:lineRule="auto"/>
            </w:pPr>
            <w:r>
              <w:t>0.01345</w:t>
            </w:r>
          </w:p>
        </w:tc>
        <w:tc>
          <w:tcPr>
            <w:tcW w:type="dxa" w:w="785"/>
          </w:tcPr>
          <w:p>
            <w:pPr>
              <w:spacing w:line="276" w:lineRule="auto"/>
            </w:pPr>
            <w:r>
              <w:t>0.00816</w:t>
            </w:r>
          </w:p>
        </w:tc>
        <w:tc>
          <w:tcPr>
            <w:tcW w:type="dxa" w:w="785"/>
          </w:tcPr>
          <w:p>
            <w:pPr>
              <w:spacing w:line="276" w:lineRule="auto"/>
            </w:pPr>
            <w:r>
              <w:t>0.279</w:t>
            </w:r>
          </w:p>
        </w:tc>
        <w:tc>
          <w:tcPr>
            <w:tcW w:type="dxa" w:w="785"/>
          </w:tcPr>
          <w:p>
            <w:pPr>
              <w:spacing w:line="276" w:lineRule="auto"/>
            </w:pPr>
            <w:r>
              <w:t>0.563</w:t>
            </w:r>
          </w:p>
        </w:tc>
        <w:tc>
          <w:tcPr>
            <w:tcW w:type="dxa" w:w="785"/>
          </w:tcPr>
          <w:p>
            <w:pPr>
              <w:spacing w:line="276" w:lineRule="auto"/>
            </w:pPr>
            <w:r>
              <w:t>0.044</w:t>
            </w:r>
          </w:p>
        </w:tc>
      </w:tr>
      <w:tr>
        <w:tc>
          <w:tcPr>
            <w:tcW w:type="dxa" w:w="785"/>
          </w:tcPr>
          <w:p>
            <w:pPr>
              <w:spacing w:line="276" w:lineRule="auto"/>
            </w:pPr>
            <w:r>
              <w:t>2A_PCA_cum60</w:t>
            </w:r>
          </w:p>
        </w:tc>
        <w:tc>
          <w:tcPr>
            <w:tcW w:type="dxa" w:w="785"/>
          </w:tcPr>
          <w:p>
            <w:pPr>
              <w:spacing w:line="276" w:lineRule="auto"/>
            </w:pPr>
            <w:r>
              <w:t>0.016</w:t>
            </w:r>
          </w:p>
        </w:tc>
        <w:tc>
          <w:tcPr>
            <w:tcW w:type="dxa" w:w="785"/>
          </w:tcPr>
          <w:p>
            <w:pPr>
              <w:spacing w:line="276" w:lineRule="auto"/>
            </w:pPr>
            <w:r>
              <w:t>0.881</w:t>
            </w:r>
          </w:p>
        </w:tc>
        <w:tc>
          <w:tcPr>
            <w:tcW w:type="dxa" w:w="785"/>
          </w:tcPr>
          <w:p>
            <w:pPr>
              <w:spacing w:line="276" w:lineRule="auto"/>
            </w:pPr>
            <w:r>
              <w:t>0.158</w:t>
            </w:r>
          </w:p>
        </w:tc>
        <w:tc>
          <w:tcPr>
            <w:tcW w:type="dxa" w:w="785"/>
          </w:tcPr>
          <w:p>
            <w:pPr>
              <w:spacing w:line="276" w:lineRule="auto"/>
            </w:pPr>
            <w:r>
              <w:t>0.080</w:t>
            </w:r>
          </w:p>
        </w:tc>
        <w:tc>
          <w:tcPr>
            <w:tcW w:type="dxa" w:w="785"/>
          </w:tcPr>
          <w:p>
            <w:pPr>
              <w:spacing w:line="276" w:lineRule="auto"/>
            </w:pPr>
            <w:r>
              <w:t>0.01865</w:t>
            </w:r>
          </w:p>
        </w:tc>
        <w:tc>
          <w:tcPr>
            <w:tcW w:type="dxa" w:w="785"/>
          </w:tcPr>
          <w:p>
            <w:pPr>
              <w:spacing w:line="276" w:lineRule="auto"/>
            </w:pPr>
            <w:r>
              <w:t>0.01883</w:t>
            </w:r>
          </w:p>
        </w:tc>
        <w:tc>
          <w:tcPr>
            <w:tcW w:type="dxa" w:w="785"/>
          </w:tcPr>
          <w:p>
            <w:pPr>
              <w:spacing w:line="276" w:lineRule="auto"/>
            </w:pPr>
            <w:r>
              <w:t>0.01769</w:t>
            </w:r>
          </w:p>
        </w:tc>
        <w:tc>
          <w:tcPr>
            <w:tcW w:type="dxa" w:w="785"/>
          </w:tcPr>
          <w:p>
            <w:pPr>
              <w:spacing w:line="276" w:lineRule="auto"/>
            </w:pPr>
            <w:r>
              <w:t>-0.010</w:t>
            </w:r>
          </w:p>
        </w:tc>
        <w:tc>
          <w:tcPr>
            <w:tcW w:type="dxa" w:w="785"/>
          </w:tcPr>
          <w:p>
            <w:pPr>
              <w:spacing w:line="276" w:lineRule="auto"/>
            </w:pPr>
            <w:r>
              <w:t>0.051</w:t>
            </w:r>
          </w:p>
        </w:tc>
        <w:tc>
          <w:tcPr>
            <w:tcW w:type="dxa" w:w="785"/>
          </w:tcPr>
          <w:p>
            <w:pPr>
              <w:spacing w:line="276" w:lineRule="auto"/>
            </w:pPr>
            <w:r>
              <w:t>0.130</w:t>
            </w:r>
          </w:p>
        </w:tc>
      </w:tr>
      <w:tr>
        <w:tc>
          <w:tcPr>
            <w:tcW w:type="dxa" w:w="785"/>
          </w:tcPr>
          <w:p>
            <w:pPr>
              <w:spacing w:line="276" w:lineRule="auto"/>
            </w:pPr>
            <w:r>
              <w:t>2B_clustering</w:t>
            </w:r>
          </w:p>
        </w:tc>
        <w:tc>
          <w:tcPr>
            <w:tcW w:type="dxa" w:w="785"/>
          </w:tcPr>
          <w:p>
            <w:pPr>
              <w:spacing w:line="276" w:lineRule="auto"/>
            </w:pPr>
            <w:r>
              <w:t>0.023</w:t>
            </w:r>
          </w:p>
        </w:tc>
        <w:tc>
          <w:tcPr>
            <w:tcW w:type="dxa" w:w="785"/>
          </w:tcPr>
          <w:p>
            <w:pPr>
              <w:spacing w:line="276" w:lineRule="auto"/>
            </w:pPr>
            <w:r>
              <w:t>0.865</w:t>
            </w:r>
          </w:p>
        </w:tc>
        <w:tc>
          <w:tcPr>
            <w:tcW w:type="dxa" w:w="785"/>
          </w:tcPr>
          <w:p>
            <w:pPr>
              <w:spacing w:line="276" w:lineRule="auto"/>
            </w:pPr>
            <w:r>
              <w:t>0.210</w:t>
            </w:r>
          </w:p>
        </w:tc>
        <w:tc>
          <w:tcPr>
            <w:tcW w:type="dxa" w:w="785"/>
          </w:tcPr>
          <w:p>
            <w:pPr>
              <w:spacing w:line="276" w:lineRule="auto"/>
            </w:pPr>
            <w:r>
              <w:t>0.143</w:t>
            </w:r>
          </w:p>
        </w:tc>
        <w:tc>
          <w:tcPr>
            <w:tcW w:type="dxa" w:w="785"/>
          </w:tcPr>
          <w:p>
            <w:pPr>
              <w:spacing w:line="276" w:lineRule="auto"/>
            </w:pPr>
            <w:r>
              <w:t>0.01865</w:t>
            </w:r>
          </w:p>
        </w:tc>
        <w:tc>
          <w:tcPr>
            <w:tcW w:type="dxa" w:w="785"/>
          </w:tcPr>
          <w:p>
            <w:pPr>
              <w:spacing w:line="276" w:lineRule="auto"/>
            </w:pPr>
            <w:r>
              <w:t>0.01796</w:t>
            </w:r>
          </w:p>
        </w:tc>
        <w:tc>
          <w:tcPr>
            <w:tcW w:type="dxa" w:w="785"/>
          </w:tcPr>
          <w:p>
            <w:pPr>
              <w:spacing w:line="276" w:lineRule="auto"/>
            </w:pPr>
            <w:r>
              <w:t>0.01651</w:t>
            </w:r>
          </w:p>
        </w:tc>
        <w:tc>
          <w:tcPr>
            <w:tcW w:type="dxa" w:w="785"/>
          </w:tcPr>
          <w:p>
            <w:pPr>
              <w:spacing w:line="276" w:lineRule="auto"/>
            </w:pPr>
            <w:r>
              <w:t>0.037</w:t>
            </w:r>
          </w:p>
        </w:tc>
        <w:tc>
          <w:tcPr>
            <w:tcW w:type="dxa" w:w="785"/>
          </w:tcPr>
          <w:p>
            <w:pPr>
              <w:spacing w:line="276" w:lineRule="auto"/>
            </w:pPr>
            <w:r>
              <w:t>0.115</w:t>
            </w:r>
          </w:p>
        </w:tc>
        <w:tc>
          <w:tcPr>
            <w:tcW w:type="dxa" w:w="785"/>
          </w:tcPr>
          <w:p>
            <w:pPr>
              <w:spacing w:line="276" w:lineRule="auto"/>
            </w:pPr>
            <w:r>
              <w:t>0.146</w:t>
            </w:r>
          </w:p>
        </w:tc>
      </w:tr>
      <w:tr>
        <w:tc>
          <w:tcPr>
            <w:tcW w:type="dxa" w:w="785"/>
          </w:tcPr>
          <w:p>
            <w:pPr>
              <w:spacing w:line="276" w:lineRule="auto"/>
            </w:pPr>
            <w:r>
              <w:t>GMM</w:t>
            </w:r>
          </w:p>
        </w:tc>
        <w:tc>
          <w:tcPr>
            <w:tcW w:type="dxa" w:w="785"/>
          </w:tcPr>
          <w:p>
            <w:pPr>
              <w:spacing w:line="276" w:lineRule="auto"/>
            </w:pPr>
            <w:r>
              <w:t>0.005</w:t>
            </w:r>
          </w:p>
        </w:tc>
        <w:tc>
          <w:tcPr>
            <w:tcW w:type="dxa" w:w="785"/>
          </w:tcPr>
          <w:p>
            <w:pPr>
              <w:spacing w:line="276" w:lineRule="auto"/>
            </w:pPr>
            <w:r>
              <w:t>0.895</w:t>
            </w:r>
          </w:p>
        </w:tc>
        <w:tc>
          <w:tcPr>
            <w:tcW w:type="dxa" w:w="785"/>
          </w:tcPr>
          <w:p>
            <w:pPr>
              <w:spacing w:line="276" w:lineRule="auto"/>
            </w:pPr>
            <w:r>
              <w:t>0.050</w:t>
            </w:r>
          </w:p>
        </w:tc>
        <w:tc>
          <w:tcPr>
            <w:tcW w:type="dxa" w:w="785"/>
          </w:tcPr>
          <w:p>
            <w:pPr>
              <w:spacing w:line="276" w:lineRule="auto"/>
            </w:pPr>
            <w:r>
              <w:t>0.096</w:t>
            </w:r>
          </w:p>
        </w:tc>
        <w:tc>
          <w:tcPr>
            <w:tcW w:type="dxa" w:w="785"/>
          </w:tcPr>
          <w:p>
            <w:pPr>
              <w:spacing w:line="276" w:lineRule="auto"/>
            </w:pPr>
            <w:r>
              <w:t>0.01865</w:t>
            </w:r>
          </w:p>
        </w:tc>
        <w:tc>
          <w:tcPr>
            <w:tcW w:type="dxa" w:w="785"/>
          </w:tcPr>
          <w:p>
            <w:pPr>
              <w:spacing w:line="276" w:lineRule="auto"/>
            </w:pPr>
            <w:r>
              <w:t>0.01797</w:t>
            </w:r>
          </w:p>
        </w:tc>
        <w:tc>
          <w:tcPr>
            <w:tcW w:type="dxa" w:w="785"/>
          </w:tcPr>
          <w:p>
            <w:pPr>
              <w:spacing w:line="276" w:lineRule="auto"/>
            </w:pPr>
            <w:r>
              <w:t>0.01686</w:t>
            </w:r>
          </w:p>
        </w:tc>
        <w:tc>
          <w:tcPr>
            <w:tcW w:type="dxa" w:w="785"/>
          </w:tcPr>
          <w:p>
            <w:pPr>
              <w:spacing w:line="276" w:lineRule="auto"/>
            </w:pPr>
            <w:r>
              <w:t>0.036</w:t>
            </w:r>
          </w:p>
        </w:tc>
        <w:tc>
          <w:tcPr>
            <w:tcW w:type="dxa" w:w="785"/>
          </w:tcPr>
          <w:p>
            <w:pPr>
              <w:spacing w:line="276" w:lineRule="auto"/>
            </w:pPr>
            <w:r>
              <w:t>0.096</w:t>
            </w:r>
          </w:p>
        </w:tc>
        <w:tc>
          <w:tcPr>
            <w:tcW w:type="dxa" w:w="785"/>
          </w:tcPr>
          <w:p>
            <w:pPr>
              <w:spacing w:line="276" w:lineRule="auto"/>
            </w:pPr>
            <w:r>
              <w:t>0.127</w:t>
            </w:r>
          </w:p>
        </w:tc>
      </w:tr>
      <w:tr>
        <w:tc>
          <w:tcPr>
            <w:tcW w:type="dxa" w:w="785"/>
          </w:tcPr>
          <w:p>
            <w:pPr>
              <w:spacing w:line="276" w:lineRule="auto"/>
            </w:pPr>
            <w:r>
              <w:t>PS_propensity_score</w:t>
            </w:r>
          </w:p>
        </w:tc>
        <w:tc>
          <w:tcPr>
            <w:tcW w:type="dxa" w:w="785"/>
          </w:tcPr>
          <w:p>
            <w:pPr>
              <w:spacing w:line="276" w:lineRule="auto"/>
            </w:pPr>
            <w:r>
              <w:t>0.005</w:t>
            </w:r>
          </w:p>
        </w:tc>
        <w:tc>
          <w:tcPr>
            <w:tcW w:type="dxa" w:w="785"/>
          </w:tcPr>
          <w:p>
            <w:pPr>
              <w:spacing w:line="276" w:lineRule="auto"/>
            </w:pPr>
            <w:r>
              <w:t>0.881</w:t>
            </w:r>
          </w:p>
        </w:tc>
        <w:tc>
          <w:tcPr>
            <w:tcW w:type="dxa" w:w="785"/>
          </w:tcPr>
          <w:p>
            <w:pPr>
              <w:spacing w:line="276" w:lineRule="auto"/>
            </w:pPr>
            <w:r>
              <w:t>0.050</w:t>
            </w:r>
          </w:p>
        </w:tc>
        <w:tc>
          <w:tcPr>
            <w:tcW w:type="dxa" w:w="785"/>
          </w:tcPr>
          <w:p>
            <w:pPr>
              <w:spacing w:line="276" w:lineRule="auto"/>
            </w:pPr>
            <w:r>
              <w:t>0.059</w:t>
            </w:r>
          </w:p>
        </w:tc>
        <w:tc>
          <w:tcPr>
            <w:tcW w:type="dxa" w:w="785"/>
          </w:tcPr>
          <w:p>
            <w:pPr>
              <w:spacing w:line="276" w:lineRule="auto"/>
            </w:pPr>
            <w:r>
              <w:t>0.01865</w:t>
            </w:r>
          </w:p>
        </w:tc>
        <w:tc>
          <w:tcPr>
            <w:tcW w:type="dxa" w:w="785"/>
          </w:tcPr>
          <w:p>
            <w:pPr>
              <w:spacing w:line="276" w:lineRule="auto"/>
            </w:pPr>
            <w:r>
              <w:t>0.01816</w:t>
            </w:r>
          </w:p>
        </w:tc>
        <w:tc>
          <w:tcPr>
            <w:tcW w:type="dxa" w:w="785"/>
          </w:tcPr>
          <w:p>
            <w:pPr>
              <w:spacing w:line="276" w:lineRule="auto"/>
            </w:pPr>
            <w:r>
              <w:t>0.01754</w:t>
            </w:r>
          </w:p>
        </w:tc>
        <w:tc>
          <w:tcPr>
            <w:tcW w:type="dxa" w:w="785"/>
          </w:tcPr>
          <w:p>
            <w:pPr>
              <w:spacing w:line="276" w:lineRule="auto"/>
            </w:pPr>
            <w:r>
              <w:t>0.026</w:t>
            </w:r>
          </w:p>
        </w:tc>
        <w:tc>
          <w:tcPr>
            <w:tcW w:type="dxa" w:w="785"/>
          </w:tcPr>
          <w:p>
            <w:pPr>
              <w:spacing w:line="276" w:lineRule="auto"/>
            </w:pPr>
            <w:r>
              <w:t>0.059</w:t>
            </w:r>
          </w:p>
        </w:tc>
        <w:tc>
          <w:tcPr>
            <w:tcW w:type="dxa" w:w="785"/>
          </w:tcPr>
          <w:p>
            <w:pPr>
              <w:spacing w:line="276" w:lineRule="auto"/>
            </w:pPr>
            <w:r>
              <w:t>0.144</w:t>
            </w:r>
          </w:p>
        </w:tc>
      </w:tr>
      <w:tr>
        <w:tc>
          <w:tcPr>
            <w:tcW w:type="dxa" w:w="785"/>
          </w:tcPr>
          <w:p>
            <w:pPr>
              <w:spacing w:line="276" w:lineRule="auto"/>
            </w:pPr>
            <w:r>
              <w:t>Prognostic_score</w:t>
            </w:r>
          </w:p>
        </w:tc>
        <w:tc>
          <w:tcPr>
            <w:tcW w:type="dxa" w:w="785"/>
          </w:tcPr>
          <w:p>
            <w:pPr>
              <w:spacing w:line="276" w:lineRule="auto"/>
            </w:pPr>
            <w:r>
              <w:t>0.026</w:t>
            </w:r>
          </w:p>
        </w:tc>
        <w:tc>
          <w:tcPr>
            <w:tcW w:type="dxa" w:w="785"/>
          </w:tcPr>
          <w:p>
            <w:pPr>
              <w:spacing w:line="276" w:lineRule="auto"/>
            </w:pPr>
            <w:r>
              <w:t>0.858</w:t>
            </w:r>
          </w:p>
        </w:tc>
        <w:tc>
          <w:tcPr>
            <w:tcW w:type="dxa" w:w="785"/>
          </w:tcPr>
          <w:p>
            <w:pPr>
              <w:spacing w:line="276" w:lineRule="auto"/>
            </w:pPr>
            <w:r>
              <w:t>0.322</w:t>
            </w:r>
          </w:p>
        </w:tc>
        <w:tc>
          <w:tcPr>
            <w:tcW w:type="dxa" w:w="785"/>
          </w:tcPr>
          <w:p>
            <w:pPr>
              <w:spacing w:line="276" w:lineRule="auto"/>
            </w:pPr>
            <w:r>
              <w:t>0.107</w:t>
            </w:r>
          </w:p>
        </w:tc>
        <w:tc>
          <w:tcPr>
            <w:tcW w:type="dxa" w:w="785"/>
          </w:tcPr>
          <w:p>
            <w:pPr>
              <w:spacing w:line="276" w:lineRule="auto"/>
            </w:pPr>
            <w:r>
              <w:t>0.01865</w:t>
            </w:r>
          </w:p>
        </w:tc>
        <w:tc>
          <w:tcPr>
            <w:tcW w:type="dxa" w:w="785"/>
          </w:tcPr>
          <w:p>
            <w:pPr>
              <w:spacing w:line="276" w:lineRule="auto"/>
            </w:pPr>
            <w:r>
              <w:t>0.01849</w:t>
            </w:r>
          </w:p>
        </w:tc>
        <w:tc>
          <w:tcPr>
            <w:tcW w:type="dxa" w:w="785"/>
          </w:tcPr>
          <w:p>
            <w:pPr>
              <w:spacing w:line="276" w:lineRule="auto"/>
            </w:pPr>
            <w:r>
              <w:t>0.01430</w:t>
            </w:r>
          </w:p>
        </w:tc>
        <w:tc>
          <w:tcPr>
            <w:tcW w:type="dxa" w:w="785"/>
          </w:tcPr>
          <w:p>
            <w:pPr>
              <w:spacing w:line="276" w:lineRule="auto"/>
            </w:pPr>
            <w:r>
              <w:t>0.009</w:t>
            </w:r>
          </w:p>
        </w:tc>
        <w:tc>
          <w:tcPr>
            <w:tcW w:type="dxa" w:w="785"/>
          </w:tcPr>
          <w:p>
            <w:pPr>
              <w:spacing w:line="276" w:lineRule="auto"/>
            </w:pPr>
            <w:r>
              <w:t>0.233</w:t>
            </w:r>
          </w:p>
        </w:tc>
        <w:tc>
          <w:tcPr>
            <w:tcW w:type="dxa" w:w="785"/>
          </w:tcPr>
          <w:p>
            <w:pPr>
              <w:spacing w:line="276" w:lineRule="auto"/>
            </w:pPr>
            <w:r>
              <w:t>0.141</w:t>
            </w:r>
          </w:p>
        </w:tc>
      </w:tr>
      <w:tr>
        <w:tc>
          <w:tcPr>
            <w:tcW w:type="dxa" w:w="785"/>
          </w:tcPr>
          <w:p>
            <w:pPr>
              <w:spacing w:line="276" w:lineRule="auto"/>
            </w:pPr>
            <w:r>
              <w:t>baseline_oracle_kmeans</w:t>
            </w:r>
          </w:p>
        </w:tc>
        <w:tc>
          <w:tcPr>
            <w:tcW w:type="dxa" w:w="785"/>
          </w:tcPr>
          <w:p>
            <w:pPr>
              <w:spacing w:line="276" w:lineRule="auto"/>
            </w:pPr>
            <w:r>
              <w:t>0.372</w:t>
            </w:r>
          </w:p>
        </w:tc>
        <w:tc>
          <w:tcPr>
            <w:tcW w:type="dxa" w:w="785"/>
          </w:tcPr>
          <w:p>
            <w:pPr>
              <w:spacing w:line="276" w:lineRule="auto"/>
            </w:pPr>
            <w:r>
              <w:t>0.913</w:t>
            </w:r>
          </w:p>
        </w:tc>
        <w:tc>
          <w:tcPr>
            <w:tcW w:type="dxa" w:w="785"/>
          </w:tcPr>
          <w:p>
            <w:pPr>
              <w:spacing w:line="276" w:lineRule="auto"/>
            </w:pPr>
            <w:r>
              <w:t>0.355</w:t>
            </w:r>
          </w:p>
        </w:tc>
        <w:tc>
          <w:tcPr>
            <w:tcW w:type="dxa" w:w="785"/>
          </w:tcPr>
          <w:p>
            <w:pPr>
              <w:spacing w:line="276" w:lineRule="auto"/>
            </w:pPr>
            <w:r>
              <w:t>0.030</w:t>
            </w:r>
          </w:p>
        </w:tc>
        <w:tc>
          <w:tcPr>
            <w:tcW w:type="dxa" w:w="785"/>
          </w:tcPr>
          <w:p>
            <w:pPr>
              <w:spacing w:line="276" w:lineRule="auto"/>
            </w:pPr>
            <w:r>
              <w:t>0.01865</w:t>
            </w:r>
          </w:p>
        </w:tc>
        <w:tc>
          <w:tcPr>
            <w:tcW w:type="dxa" w:w="785"/>
          </w:tcPr>
          <w:p>
            <w:pPr>
              <w:spacing w:line="276" w:lineRule="auto"/>
            </w:pPr>
            <w:r>
              <w:t>0.01901</w:t>
            </w:r>
          </w:p>
        </w:tc>
        <w:tc>
          <w:tcPr>
            <w:tcW w:type="dxa" w:w="785"/>
          </w:tcPr>
          <w:p>
            <w:pPr>
              <w:spacing w:line="276" w:lineRule="auto"/>
            </w:pPr>
            <w:r>
              <w:t>0.01651</w:t>
            </w:r>
          </w:p>
        </w:tc>
        <w:tc>
          <w:tcPr>
            <w:tcW w:type="dxa" w:w="785"/>
          </w:tcPr>
          <w:p>
            <w:pPr>
              <w:spacing w:line="276" w:lineRule="auto"/>
            </w:pPr>
            <w:r>
              <w:t>-0.019</w:t>
            </w:r>
          </w:p>
        </w:tc>
        <w:tc>
          <w:tcPr>
            <w:tcW w:type="dxa" w:w="785"/>
          </w:tcPr>
          <w:p>
            <w:pPr>
              <w:spacing w:line="276" w:lineRule="auto"/>
            </w:pPr>
            <w:r>
              <w:t>0.115</w:t>
            </w:r>
          </w:p>
        </w:tc>
        <w:tc>
          <w:tcPr>
            <w:tcW w:type="dxa" w:w="785"/>
          </w:tcPr>
          <w:p>
            <w:pPr>
              <w:spacing w:line="276" w:lineRule="auto"/>
            </w:pPr>
            <w:r>
              <w:t>0.124</w:t>
            </w:r>
          </w:p>
        </w:tc>
      </w:tr>
      <w:tr>
        <w:tc>
          <w:tcPr>
            <w:tcW w:type="dxa" w:w="785"/>
          </w:tcPr>
          <w:p>
            <w:pPr>
              <w:spacing w:line="276" w:lineRule="auto"/>
            </w:pPr>
            <w:r>
              <w:t>baseline_oracle_quantile</w:t>
            </w:r>
          </w:p>
        </w:tc>
        <w:tc>
          <w:tcPr>
            <w:tcW w:type="dxa" w:w="785"/>
          </w:tcPr>
          <w:p>
            <w:pPr>
              <w:spacing w:line="276" w:lineRule="auto"/>
            </w:pPr>
            <w:r>
              <w:t>0.095</w:t>
            </w:r>
          </w:p>
        </w:tc>
        <w:tc>
          <w:tcPr>
            <w:tcW w:type="dxa" w:w="785"/>
          </w:tcPr>
          <w:p>
            <w:pPr>
              <w:spacing w:line="276" w:lineRule="auto"/>
            </w:pPr>
            <w:r>
              <w:t>0.897</w:t>
            </w:r>
          </w:p>
        </w:tc>
        <w:tc>
          <w:tcPr>
            <w:tcW w:type="dxa" w:w="785"/>
          </w:tcPr>
          <w:p>
            <w:pPr>
              <w:spacing w:line="276" w:lineRule="auto"/>
            </w:pPr>
            <w:r>
              <w:t>0.447</w:t>
            </w:r>
          </w:p>
        </w:tc>
        <w:tc>
          <w:tcPr>
            <w:tcW w:type="dxa" w:w="785"/>
          </w:tcPr>
          <w:p>
            <w:pPr>
              <w:spacing w:line="276" w:lineRule="auto"/>
            </w:pPr>
            <w:r>
              <w:t>0.042</w:t>
            </w:r>
          </w:p>
        </w:tc>
        <w:tc>
          <w:tcPr>
            <w:tcW w:type="dxa" w:w="785"/>
          </w:tcPr>
          <w:p>
            <w:pPr>
              <w:spacing w:line="276" w:lineRule="auto"/>
            </w:pPr>
            <w:r>
              <w:t>0.01865</w:t>
            </w:r>
          </w:p>
        </w:tc>
        <w:tc>
          <w:tcPr>
            <w:tcW w:type="dxa" w:w="785"/>
          </w:tcPr>
          <w:p>
            <w:pPr>
              <w:spacing w:line="276" w:lineRule="auto"/>
            </w:pPr>
            <w:r>
              <w:t>0.01620</w:t>
            </w:r>
          </w:p>
        </w:tc>
        <w:tc>
          <w:tcPr>
            <w:tcW w:type="dxa" w:w="785"/>
          </w:tcPr>
          <w:p>
            <w:pPr>
              <w:spacing w:line="276" w:lineRule="auto"/>
            </w:pPr>
            <w:r>
              <w:t>0.01266</w:t>
            </w:r>
          </w:p>
        </w:tc>
        <w:tc>
          <w:tcPr>
            <w:tcW w:type="dxa" w:w="785"/>
          </w:tcPr>
          <w:p>
            <w:pPr>
              <w:spacing w:line="276" w:lineRule="auto"/>
            </w:pPr>
            <w:r>
              <w:t>0.131</w:t>
            </w:r>
          </w:p>
        </w:tc>
        <w:tc>
          <w:tcPr>
            <w:tcW w:type="dxa" w:w="785"/>
          </w:tcPr>
          <w:p>
            <w:pPr>
              <w:spacing w:line="276" w:lineRule="auto"/>
            </w:pPr>
            <w:r>
              <w:t>0.321</w:t>
            </w:r>
          </w:p>
        </w:tc>
        <w:tc>
          <w:tcPr>
            <w:tcW w:type="dxa" w:w="785"/>
          </w:tcPr>
          <w:p>
            <w:pPr>
              <w:spacing w:line="276" w:lineRule="auto"/>
            </w:pPr>
            <w:r>
              <w:t>0.169</w:t>
            </w:r>
          </w:p>
        </w:tc>
      </w:tr>
      <w:tr>
        <w:tc>
          <w:tcPr>
            <w:tcW w:type="dxa" w:w="785"/>
          </w:tcPr>
          <w:p>
            <w:pPr>
              <w:spacing w:line="276" w:lineRule="auto"/>
            </w:pPr>
            <w:r>
              <w:t>baseline_random</w:t>
            </w:r>
          </w:p>
        </w:tc>
        <w:tc>
          <w:tcPr>
            <w:tcW w:type="dxa" w:w="785"/>
          </w:tcPr>
          <w:p>
            <w:pPr>
              <w:spacing w:line="276" w:lineRule="auto"/>
            </w:pPr>
            <w:r>
              <w:t>0.000</w:t>
            </w:r>
          </w:p>
        </w:tc>
        <w:tc>
          <w:tcPr>
            <w:tcW w:type="dxa" w:w="785"/>
          </w:tcPr>
          <w:p>
            <w:pPr>
              <w:spacing w:line="276" w:lineRule="auto"/>
            </w:pPr>
            <w:r>
              <w:t>0.883</w:t>
            </w:r>
          </w:p>
        </w:tc>
        <w:tc>
          <w:tcPr>
            <w:tcW w:type="dxa" w:w="785"/>
          </w:tcPr>
          <w:p>
            <w:pPr>
              <w:spacing w:line="276" w:lineRule="auto"/>
            </w:pPr>
            <w:r>
              <w:t>0.004</w:t>
            </w:r>
          </w:p>
        </w:tc>
        <w:tc>
          <w:tcPr>
            <w:tcW w:type="dxa" w:w="785"/>
          </w:tcPr>
          <w:p>
            <w:pPr>
              <w:spacing w:line="276" w:lineRule="auto"/>
            </w:pPr>
            <w:r>
              <w:t>0.004</w:t>
            </w:r>
          </w:p>
        </w:tc>
        <w:tc>
          <w:tcPr>
            <w:tcW w:type="dxa" w:w="785"/>
          </w:tcPr>
          <w:p>
            <w:pPr>
              <w:spacing w:line="276" w:lineRule="auto"/>
            </w:pPr>
            <w:r>
              <w:t>0.01865</w:t>
            </w:r>
          </w:p>
        </w:tc>
        <w:tc>
          <w:tcPr>
            <w:tcW w:type="dxa" w:w="785"/>
          </w:tcPr>
          <w:p>
            <w:pPr>
              <w:spacing w:line="276" w:lineRule="auto"/>
            </w:pPr>
            <w:r>
              <w:t>0.01847</w:t>
            </w:r>
          </w:p>
        </w:tc>
        <w:tc>
          <w:tcPr>
            <w:tcW w:type="dxa" w:w="785"/>
          </w:tcPr>
          <w:p>
            <w:pPr>
              <w:spacing w:line="276" w:lineRule="auto"/>
            </w:pPr>
            <w:r>
              <w:t>0.01901</w:t>
            </w:r>
          </w:p>
        </w:tc>
        <w:tc>
          <w:tcPr>
            <w:tcW w:type="dxa" w:w="785"/>
          </w:tcPr>
          <w:p>
            <w:pPr>
              <w:spacing w:line="276" w:lineRule="auto"/>
            </w:pPr>
            <w:r>
              <w:t>0.010</w:t>
            </w:r>
          </w:p>
        </w:tc>
        <w:tc>
          <w:tcPr>
            <w:tcW w:type="dxa" w:w="785"/>
          </w:tcPr>
          <w:p>
            <w:pPr>
              <w:spacing w:line="276" w:lineRule="auto"/>
            </w:pPr>
            <w:r>
              <w:t>-0.019</w:t>
            </w:r>
          </w:p>
        </w:tc>
        <w:tc>
          <w:tcPr>
            <w:tcW w:type="dxa" w:w="785"/>
          </w:tcPr>
          <w:p>
            <w:pPr>
              <w:spacing w:line="276" w:lineRule="auto"/>
            </w:pPr>
            <w:r>
              <w:t>0.117</w:t>
            </w:r>
          </w:p>
        </w:tc>
      </w:tr>
    </w:tbl>
    <w:p>
      <w:pPr>
        <w:spacing w:before="240" w:line="480" w:lineRule="auto"/>
      </w:pPr>
      <w:r/>
      <w:r>
        <w:rPr>
          <w:i/>
        </w:rPr>
        <w:t>Table 1. Primary IPD scenario (n=2000, 10 studies, K=5): means over 50 simulations.</w:t>
      </w:r>
      <w:r/>
    </w:p>
    <w:p>
      <w:pPr>
        <w:spacing w:line="480" w:lineRule="auto"/>
      </w:pPr>
      <w:r>
        <w:t>Figure 1 visualises the primary scenario across methods.</w:t>
      </w:r>
    </w:p>
    <w:p>
      <w:pPr>
        <w:spacing w:after="120" w:line="480" w:lineRule="auto"/>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line="480" w:lineRule="auto"/>
        <w:jc w:val="center"/>
      </w:pPr>
      <w:r>
        <w:rPr>
          <w:b/>
        </w:rPr>
        <w:t>Figure 1. Primary IPD scenario: (a) ARI, (b) C1/W coherence diagnostics, and (c) ATE bias reduction by method.</w:t>
      </w:r>
    </w:p>
    <w:p>
      <w:pPr>
        <w:pStyle w:val="Heading2"/>
        <w:spacing w:line="480" w:lineRule="auto"/>
      </w:pPr>
      <w:r>
        <w:t>Sensitivity to the number of strata</w:t>
      </w:r>
    </w:p>
    <w:p>
      <w:pPr>
        <w:spacing w:line="480" w:lineRule="auto"/>
      </w:pPr>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line="480" w:lineRule="auto"/>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line="480" w:lineRule="auto"/>
        <w:jc w:val="center"/>
      </w:pPr>
      <w:r>
        <w:rPr>
          <w:b/>
        </w:rPr>
        <w:t>Figure 2. Random-effects ATE bias reduction as the number of strata varies.</w:t>
      </w:r>
    </w:p>
    <w:p>
      <w:pPr>
        <w:pStyle w:val="Heading2"/>
        <w:spacing w:line="480" w:lineRule="auto"/>
      </w:pPr>
      <w:r>
        <w:t>Semi-synthetic illustrations</w:t>
      </w:r>
    </w:p>
    <w:p>
      <w:pPr>
        <w:spacing w:line="480" w:lineRule="auto"/>
      </w:pPr>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76" w:lineRule="auto"/>
            </w:pPr>
            <w:r>
              <w:rPr>
                <w:b/>
              </w:rPr>
              <w:t>Dataset</w:t>
            </w:r>
          </w:p>
        </w:tc>
        <w:tc>
          <w:tcPr>
            <w:tcW w:type="dxa" w:w="1234"/>
          </w:tcPr>
          <w:p>
            <w:pPr>
              <w:spacing w:line="276" w:lineRule="auto"/>
            </w:pPr>
            <w:r>
              <w:rPr>
                <w:b/>
              </w:rPr>
              <w:t>Method</w:t>
            </w:r>
          </w:p>
        </w:tc>
        <w:tc>
          <w:tcPr>
            <w:tcW w:type="dxa" w:w="1234"/>
          </w:tcPr>
          <w:p>
            <w:pPr>
              <w:spacing w:line="276" w:lineRule="auto"/>
            </w:pPr>
            <w:r>
              <w:rPr>
                <w:b/>
              </w:rPr>
              <w:t>K</w:t>
            </w:r>
          </w:p>
        </w:tc>
        <w:tc>
          <w:tcPr>
            <w:tcW w:type="dxa" w:w="1234"/>
          </w:tcPr>
          <w:p>
            <w:pPr>
              <w:spacing w:line="276" w:lineRule="auto"/>
            </w:pPr>
            <w:r>
              <w:rPr>
                <w:b/>
              </w:rPr>
              <w:t>ARI</w:t>
            </w:r>
          </w:p>
        </w:tc>
        <w:tc>
          <w:tcPr>
            <w:tcW w:type="dxa" w:w="1234"/>
          </w:tcPr>
          <w:p>
            <w:pPr>
              <w:spacing w:line="276" w:lineRule="auto"/>
            </w:pPr>
            <w:r>
              <w:rPr>
                <w:b/>
              </w:rPr>
              <w:t>C1</w:t>
            </w:r>
          </w:p>
        </w:tc>
        <w:tc>
          <w:tcPr>
            <w:tcW w:type="dxa" w:w="1234"/>
          </w:tcPr>
          <w:p>
            <w:pPr>
              <w:spacing w:line="276" w:lineRule="auto"/>
            </w:pPr>
            <m:oMath>
              <m:sSub>
                <m:e>
                  <m:r>
                    <m:t xml:space="preserve">W</m:t>
                  </m:r>
                </m:e>
                <m:sub>
                  <m:r>
                    <m:t xml:space="preserve">est</m:t>
                  </m:r>
                </m:sub>
              </m:sSub>
            </m:oMath>
          </w:p>
        </w:tc>
        <w:tc>
          <w:tcPr>
            <w:tcW w:type="dxa" w:w="1234"/>
          </w:tcPr>
          <w:p>
            <w:pPr>
              <w:spacing w:line="276" w:lineRule="auto"/>
            </w:pPr>
            <w:r>
              <w:rPr>
                <w:b/>
              </w:rPr>
              <w:t>Bias reduction</w:t>
            </w:r>
          </w:p>
        </w:tc>
      </w:tr>
      <w:tr>
        <w:tc>
          <w:tcPr>
            <w:tcW w:type="dxa" w:w="1234"/>
          </w:tcPr>
          <w:p>
            <w:pPr>
              <w:spacing w:line="276" w:lineRule="auto"/>
            </w:pPr>
            <w:r>
              <w:t>COVID-19 CFR</w:t>
            </w:r>
          </w:p>
        </w:tc>
        <w:tc>
          <w:tcPr>
            <w:tcW w:type="dxa" w:w="1234"/>
          </w:tcPr>
          <w:p>
            <w:pPr>
              <w:spacing w:line="276" w:lineRule="auto"/>
            </w:pPr>
            <w:r>
              <w:t>1B_residual</w:t>
            </w:r>
          </w:p>
        </w:tc>
        <w:tc>
          <w:tcPr>
            <w:tcW w:type="dxa" w:w="1234"/>
          </w:tcPr>
          <w:p>
            <w:pPr>
              <w:spacing w:line="276" w:lineRule="auto"/>
            </w:pPr>
            <w:r>
              <w:t>3</w:t>
            </w:r>
          </w:p>
        </w:tc>
        <w:tc>
          <w:tcPr>
            <w:tcW w:type="dxa" w:w="1234"/>
          </w:tcPr>
          <w:p>
            <w:pPr>
              <w:spacing w:line="276" w:lineRule="auto"/>
            </w:pPr>
            <w:r>
              <w:t>0.065</w:t>
            </w:r>
          </w:p>
        </w:tc>
        <w:tc>
          <w:tcPr>
            <w:tcW w:type="dxa" w:w="1234"/>
          </w:tcPr>
          <w:p>
            <w:pPr>
              <w:spacing w:line="276" w:lineRule="auto"/>
            </w:pPr>
            <w:r>
              <w:t>1.000</w:t>
            </w:r>
          </w:p>
        </w:tc>
        <w:tc>
          <w:tcPr>
            <w:tcW w:type="dxa" w:w="1234"/>
          </w:tcPr>
          <w:p>
            <w:pPr>
              <w:spacing w:line="276" w:lineRule="auto"/>
            </w:pPr>
            <w:r>
              <w:t>0.035</w:t>
            </w:r>
          </w:p>
        </w:tc>
        <w:tc>
          <w:tcPr>
            <w:tcW w:type="dxa" w:w="1234"/>
          </w:tcPr>
          <w:p>
            <w:pPr>
              <w:spacing w:line="276" w:lineRule="auto"/>
            </w:pPr>
            <w:r>
              <w:t>0.017</w:t>
            </w:r>
          </w:p>
        </w:tc>
      </w:tr>
      <w:tr>
        <w:tc>
          <w:tcPr>
            <w:tcW w:type="dxa" w:w="1234"/>
          </w:tcPr>
          <w:p>
            <w:pPr>
              <w:spacing w:line="276" w:lineRule="auto"/>
            </w:pPr>
            <w:r>
              <w:t>Israel Vaccine</w:t>
            </w:r>
          </w:p>
        </w:tc>
        <w:tc>
          <w:tcPr>
            <w:tcW w:type="dxa" w:w="1234"/>
          </w:tcPr>
          <w:p>
            <w:pPr>
              <w:spacing w:line="276" w:lineRule="auto"/>
            </w:pPr>
            <w:r>
              <w:t>2B_clustering</w:t>
            </w:r>
          </w:p>
        </w:tc>
        <w:tc>
          <w:tcPr>
            <w:tcW w:type="dxa" w:w="1234"/>
          </w:tcPr>
          <w:p>
            <w:pPr>
              <w:spacing w:line="276" w:lineRule="auto"/>
            </w:pPr>
            <w:r>
              <w:t>2</w:t>
            </w:r>
          </w:p>
        </w:tc>
        <w:tc>
          <w:tcPr>
            <w:tcW w:type="dxa" w:w="1234"/>
          </w:tcPr>
          <w:p>
            <w:pPr>
              <w:spacing w:line="276" w:lineRule="auto"/>
            </w:pPr>
            <w:r>
              <w:t>0.644</w:t>
            </w:r>
          </w:p>
        </w:tc>
        <w:tc>
          <w:tcPr>
            <w:tcW w:type="dxa" w:w="1234"/>
          </w:tcPr>
          <w:p>
            <w:pPr>
              <w:spacing w:line="276" w:lineRule="auto"/>
            </w:pPr>
            <w:r>
              <w:t>1.000</w:t>
            </w:r>
          </w:p>
        </w:tc>
        <w:tc>
          <w:tcPr>
            <w:tcW w:type="dxa" w:w="1234"/>
          </w:tcPr>
          <w:p>
            <w:pPr>
              <w:spacing w:line="276" w:lineRule="auto"/>
            </w:pPr>
            <w:r>
              <w:t>0.557</w:t>
            </w:r>
          </w:p>
        </w:tc>
        <w:tc>
          <w:tcPr>
            <w:tcW w:type="dxa" w:w="1234"/>
          </w:tcPr>
          <w:p>
            <w:pPr>
              <w:spacing w:line="276" w:lineRule="auto"/>
            </w:pPr>
            <w:r>
              <w:t>0.001</w:t>
            </w:r>
          </w:p>
        </w:tc>
      </w:tr>
      <w:tr>
        <w:tc>
          <w:tcPr>
            <w:tcW w:type="dxa" w:w="1234"/>
          </w:tcPr>
          <w:p>
            <w:pPr>
              <w:spacing w:line="276" w:lineRule="auto"/>
            </w:pPr>
            <w:r>
              <w:t>Kidney Stone</w:t>
            </w:r>
          </w:p>
        </w:tc>
        <w:tc>
          <w:tcPr>
            <w:tcW w:type="dxa" w:w="1234"/>
          </w:tcPr>
          <w:p>
            <w:pPr>
              <w:spacing w:line="276" w:lineRule="auto"/>
            </w:pPr>
            <w:r>
              <w:t>GMM</w:t>
            </w:r>
          </w:p>
        </w:tc>
        <w:tc>
          <w:tcPr>
            <w:tcW w:type="dxa" w:w="1234"/>
          </w:tcPr>
          <w:p>
            <w:pPr>
              <w:spacing w:line="276" w:lineRule="auto"/>
            </w:pPr>
            <w:r>
              <w:t>2</w:t>
            </w:r>
          </w:p>
        </w:tc>
        <w:tc>
          <w:tcPr>
            <w:tcW w:type="dxa" w:w="1234"/>
          </w:tcPr>
          <w:p>
            <w:pPr>
              <w:spacing w:line="276" w:lineRule="auto"/>
            </w:pPr>
            <w:r>
              <w:t>0.966</w:t>
            </w:r>
          </w:p>
        </w:tc>
        <w:tc>
          <w:tcPr>
            <w:tcW w:type="dxa" w:w="1234"/>
          </w:tcPr>
          <w:p>
            <w:pPr>
              <w:spacing w:line="276" w:lineRule="auto"/>
            </w:pPr>
            <w:r>
              <w:t>0.830</w:t>
            </w:r>
          </w:p>
        </w:tc>
        <w:tc>
          <w:tcPr>
            <w:tcW w:type="dxa" w:w="1234"/>
          </w:tcPr>
          <w:p>
            <w:pPr>
              <w:spacing w:line="276" w:lineRule="auto"/>
            </w:pPr>
            <w:r>
              <w:t>0.167</w:t>
            </w:r>
          </w:p>
        </w:tc>
        <w:tc>
          <w:tcPr>
            <w:tcW w:type="dxa" w:w="1234"/>
          </w:tcPr>
          <w:p>
            <w:pPr>
              <w:spacing w:line="276" w:lineRule="auto"/>
            </w:pPr>
            <w:r>
              <w:t>0.094</w:t>
            </w:r>
          </w:p>
        </w:tc>
      </w:tr>
      <w:tr>
        <w:tc>
          <w:tcPr>
            <w:tcW w:type="dxa" w:w="1234"/>
          </w:tcPr>
          <w:p>
            <w:pPr>
              <w:spacing w:line="276" w:lineRule="auto"/>
            </w:pPr>
            <w:r>
              <w:t>Smoking Mortality</w:t>
            </w:r>
          </w:p>
        </w:tc>
        <w:tc>
          <w:tcPr>
            <w:tcW w:type="dxa" w:w="1234"/>
          </w:tcPr>
          <w:p>
            <w:pPr>
              <w:spacing w:line="276" w:lineRule="auto"/>
            </w:pPr>
            <w:r>
              <w:t>1A_predicted_prob</w:t>
            </w:r>
          </w:p>
        </w:tc>
        <w:tc>
          <w:tcPr>
            <w:tcW w:type="dxa" w:w="1234"/>
          </w:tcPr>
          <w:p>
            <w:pPr>
              <w:spacing w:line="276" w:lineRule="auto"/>
            </w:pPr>
            <w:r>
              <w:t>7</w:t>
            </w:r>
          </w:p>
        </w:tc>
        <w:tc>
          <w:tcPr>
            <w:tcW w:type="dxa" w:w="1234"/>
          </w:tcPr>
          <w:p>
            <w:pPr>
              <w:spacing w:line="276" w:lineRule="auto"/>
            </w:pPr>
            <w:r>
              <w:t>0.498</w:t>
            </w:r>
          </w:p>
        </w:tc>
        <w:tc>
          <w:tcPr>
            <w:tcW w:type="dxa" w:w="1234"/>
          </w:tcPr>
          <w:p>
            <w:pPr>
              <w:spacing w:line="276" w:lineRule="auto"/>
            </w:pPr>
            <w:r>
              <w:t>1.000</w:t>
            </w:r>
          </w:p>
        </w:tc>
        <w:tc>
          <w:tcPr>
            <w:tcW w:type="dxa" w:w="1234"/>
          </w:tcPr>
          <w:p>
            <w:pPr>
              <w:spacing w:line="276" w:lineRule="auto"/>
            </w:pPr>
            <w:r>
              <w:t>0.161</w:t>
            </w:r>
          </w:p>
        </w:tc>
        <w:tc>
          <w:tcPr>
            <w:tcW w:type="dxa" w:w="1234"/>
          </w:tcPr>
          <w:p>
            <w:pPr>
              <w:spacing w:line="276" w:lineRule="auto"/>
            </w:pPr>
            <w:r>
              <w:t>0.114</w:t>
            </w:r>
          </w:p>
        </w:tc>
      </w:tr>
      <w:tr>
        <w:tc>
          <w:tcPr>
            <w:tcW w:type="dxa" w:w="1234"/>
          </w:tcPr>
          <w:p>
            <w:pPr>
              <w:spacing w:line="276" w:lineRule="auto"/>
            </w:pPr>
            <w:r>
              <w:t>UC Berkeley</w:t>
            </w:r>
          </w:p>
        </w:tc>
        <w:tc>
          <w:tcPr>
            <w:tcW w:type="dxa" w:w="1234"/>
          </w:tcPr>
          <w:p>
            <w:pPr>
              <w:spacing w:line="276" w:lineRule="auto"/>
            </w:pPr>
            <w:r>
              <w:t>PS_propensity_score</w:t>
            </w:r>
          </w:p>
        </w:tc>
        <w:tc>
          <w:tcPr>
            <w:tcW w:type="dxa" w:w="1234"/>
          </w:tcPr>
          <w:p>
            <w:pPr>
              <w:spacing w:line="276" w:lineRule="auto"/>
            </w:pPr>
            <w:r>
              <w:t>3</w:t>
            </w:r>
          </w:p>
        </w:tc>
        <w:tc>
          <w:tcPr>
            <w:tcW w:type="dxa" w:w="1234"/>
          </w:tcPr>
          <w:p>
            <w:pPr>
              <w:spacing w:line="276" w:lineRule="auto"/>
            </w:pPr>
            <w:r>
              <w:t>0.084</w:t>
            </w:r>
          </w:p>
        </w:tc>
        <w:tc>
          <w:tcPr>
            <w:tcW w:type="dxa" w:w="1234"/>
          </w:tcPr>
          <w:p>
            <w:pPr>
              <w:spacing w:line="276" w:lineRule="auto"/>
            </w:pPr>
            <w:r>
              <w:t>0.284</w:t>
            </w:r>
          </w:p>
        </w:tc>
        <w:tc>
          <w:tcPr>
            <w:tcW w:type="dxa" w:w="1234"/>
          </w:tcPr>
          <w:p>
            <w:pPr>
              <w:spacing w:line="276" w:lineRule="auto"/>
            </w:pPr>
            <w:r>
              <w:t>0.177</w:t>
            </w:r>
          </w:p>
        </w:tc>
        <w:tc>
          <w:tcPr>
            <w:tcW w:type="dxa" w:w="1234"/>
          </w:tcPr>
          <w:p>
            <w:pPr>
              <w:spacing w:line="276" w:lineRule="auto"/>
            </w:pPr>
            <w:r>
              <w:t>0.031</w:t>
            </w:r>
          </w:p>
        </w:tc>
      </w:tr>
    </w:tbl>
    <w:p>
      <w:pPr>
        <w:spacing w:before="240" w:line="480" w:lineRule="auto"/>
      </w:pPr>
      <w:r/>
      <w:r>
        <w:rPr>
          <w:i/>
        </w:rPr>
        <w:t>Table 2. Best semi-synthetic illustration result per dataset (oracle baselines excluded). Bias reduction is the absolute difference between crude and stratified ATE risk-difference bias.</w:t>
      </w:r>
      <w:r/>
    </w:p>
    <w:p>
      <w:pPr>
        <w:spacing w:line="480" w:lineRule="auto"/>
      </w:pPr>
      <w:r>
        <w:t>Figure 3 displays ARI by dataset and method for the semi-synthetic examples.</w:t>
      </w:r>
    </w:p>
    <w:p>
      <w:pPr>
        <w:spacing w:after="120" w:line="480" w:lineRule="auto"/>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line="480" w:lineRule="auto"/>
        <w:jc w:val="center"/>
      </w:pPr>
      <w:r>
        <w:rPr>
          <w:b/>
        </w:rPr>
        <w:t>Figure 3. Semi-synthetic illustration: ARI by dataset and method.</w:t>
      </w:r>
    </w:p>
    <w:p>
      <w:pPr>
        <w:pStyle w:val="Heading2"/>
        <w:spacing w:line="480" w:lineRule="auto"/>
      </w:pPr>
      <w:r>
        <w:t>Sensitivity to sample size</w:t>
      </w:r>
    </w:p>
    <w:p>
      <w:pPr>
        <w:spacing w:line="480" w:lineRule="auto"/>
      </w:pPr>
      <w:r>
        <w:t>Figure 4 and Supplementary Table S2 report n = 500, 2000 and 10 000 (K=5). Crude bias declined with n. The residual method's absolute random-effects ATE bias plateaued near 0.008–0.009 across the three sample sizes (0.00824 at n=500, 0.00852 at n=2000 and 0.00864 at n=10 000), so its relative reduction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reduce the component of aggregation bias that is predictable from measured covariates, but it cannot fully adjust for unmodelled hidden effect modification.</w:t>
      </w:r>
    </w:p>
    <w:p>
      <w:pPr>
        <w:spacing w:after="120" w:line="480" w:lineRule="auto"/>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line="480" w:lineRule="auto"/>
        <w:jc w:val="center"/>
      </w:pPr>
      <w:r>
        <w:rPr>
          <w:b/>
        </w:rPr>
        <w:t>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w:t>
      </w:r>
    </w:p>
    <w:p>
      <w:pPr>
        <w:pStyle w:val="Heading2"/>
        <w:spacing w:line="480" w:lineRule="auto"/>
      </w:pPr>
      <w:r>
        <w:t>Sensitivity to Z-to-X and Z-to-Y effects</w:t>
      </w:r>
    </w:p>
    <w:p>
      <w:pPr>
        <w:spacing w:line="480" w:lineRule="auto"/>
      </w:pPr>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spacing w:line="480" w:lineRule="auto"/>
      </w:pPr>
      <w:r>
        <w:t>Robustness to non-linear Z-to-X mappings</w:t>
      </w:r>
    </w:p>
    <w:p>
      <w:pPr>
        <w:spacing w:line="480" w:lineRule="auto"/>
      </w:pPr>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line="276" w:lineRule="auto"/>
            </w:pPr>
            <w:r>
              <w:rPr>
                <w:b/>
              </w:rPr>
              <w:t>Method</w:t>
            </w:r>
          </w:p>
        </w:tc>
        <w:tc>
          <w:tcPr>
            <w:tcW w:type="dxa" w:w="960"/>
          </w:tcPr>
          <w:p>
            <w:pPr>
              <w:spacing w:line="276" w:lineRule="auto"/>
            </w:pPr>
            <w:r>
              <w:rPr>
                <w:b/>
              </w:rPr>
              <w:t>Linear RE bias</w:t>
            </w:r>
          </w:p>
        </w:tc>
        <w:tc>
          <w:tcPr>
            <w:tcW w:type="dxa" w:w="960"/>
          </w:tcPr>
          <w:p>
            <w:pPr>
              <w:spacing w:line="276" w:lineRule="auto"/>
            </w:pPr>
            <w:r>
              <w:rPr>
                <w:b/>
              </w:rPr>
              <w:t>Linear RE bias SE</w:t>
            </w:r>
          </w:p>
        </w:tc>
        <w:tc>
          <w:tcPr>
            <w:tcW w:type="dxa" w:w="960"/>
          </w:tcPr>
          <w:p>
            <w:pPr>
              <w:spacing w:line="276" w:lineRule="auto"/>
            </w:pPr>
            <w:r>
              <w:rPr>
                <w:b/>
              </w:rPr>
              <w:t>Linear rel reduction</w:t>
            </w:r>
          </w:p>
        </w:tc>
        <w:tc>
          <w:tcPr>
            <w:tcW w:type="dxa" w:w="960"/>
          </w:tcPr>
          <w:p>
            <w:pPr>
              <w:spacing w:line="276" w:lineRule="auto"/>
            </w:pPr>
            <w:r>
              <w:rPr>
                <w:b/>
              </w:rPr>
              <w:t>Linear rel reduction SE</w:t>
            </w:r>
          </w:p>
        </w:tc>
        <w:tc>
          <w:tcPr>
            <w:tcW w:type="dxa" w:w="960"/>
          </w:tcPr>
          <w:p>
            <w:pPr>
              <w:spacing w:line="276" w:lineRule="auto"/>
            </w:pPr>
            <w:r>
              <w:rPr>
                <w:b/>
              </w:rPr>
              <w:t>Non-linear RE bias</w:t>
            </w:r>
          </w:p>
        </w:tc>
        <w:tc>
          <w:tcPr>
            <w:tcW w:type="dxa" w:w="960"/>
          </w:tcPr>
          <w:p>
            <w:pPr>
              <w:spacing w:line="276" w:lineRule="auto"/>
            </w:pPr>
            <w:r>
              <w:rPr>
                <w:b/>
              </w:rPr>
              <w:t>Non-linear RE bias SE</w:t>
            </w:r>
          </w:p>
        </w:tc>
        <w:tc>
          <w:tcPr>
            <w:tcW w:type="dxa" w:w="960"/>
          </w:tcPr>
          <w:p>
            <w:pPr>
              <w:spacing w:line="276" w:lineRule="auto"/>
            </w:pPr>
            <w:r>
              <w:rPr>
                <w:b/>
              </w:rPr>
              <w:t>Non-linear rel reduction</w:t>
            </w:r>
          </w:p>
        </w:tc>
        <w:tc>
          <w:tcPr>
            <w:tcW w:type="dxa" w:w="960"/>
          </w:tcPr>
          <w:p>
            <w:pPr>
              <w:spacing w:line="276" w:lineRule="auto"/>
            </w:pPr>
            <w:r>
              <w:rPr>
                <w:b/>
              </w:rPr>
              <w:t>Non-linear rel reduction SE</w:t>
            </w:r>
          </w:p>
        </w:tc>
      </w:tr>
      <w:tr>
        <w:tc>
          <w:tcPr>
            <w:tcW w:type="dxa" w:w="960"/>
          </w:tcPr>
          <w:p>
            <w:pPr>
              <w:spacing w:line="276" w:lineRule="auto"/>
            </w:pPr>
            <w:r>
              <w:t>1B_residual</w:t>
            </w:r>
          </w:p>
        </w:tc>
        <w:tc>
          <w:tcPr>
            <w:tcW w:type="dxa" w:w="960"/>
          </w:tcPr>
          <w:p>
            <w:pPr>
              <w:spacing w:line="276" w:lineRule="auto"/>
            </w:pPr>
            <w:r>
              <w:t>0.00852</w:t>
            </w:r>
          </w:p>
        </w:tc>
        <w:tc>
          <w:tcPr>
            <w:tcW w:type="dxa" w:w="960"/>
          </w:tcPr>
          <w:p>
            <w:pPr>
              <w:spacing w:line="276" w:lineRule="auto"/>
            </w:pPr>
            <w:r>
              <w:t>0.00043</w:t>
            </w:r>
          </w:p>
        </w:tc>
        <w:tc>
          <w:tcPr>
            <w:tcW w:type="dxa" w:w="960"/>
          </w:tcPr>
          <w:p>
            <w:pPr>
              <w:spacing w:line="276" w:lineRule="auto"/>
            </w:pPr>
            <w:r>
              <w:t>0.522</w:t>
            </w:r>
          </w:p>
        </w:tc>
        <w:tc>
          <w:tcPr>
            <w:tcW w:type="dxa" w:w="960"/>
          </w:tcPr>
          <w:p>
            <w:pPr>
              <w:spacing w:line="276" w:lineRule="auto"/>
            </w:pPr>
            <w:r>
              <w:t>0.093</w:t>
            </w:r>
          </w:p>
        </w:tc>
        <w:tc>
          <w:tcPr>
            <w:tcW w:type="dxa" w:w="960"/>
          </w:tcPr>
          <w:p>
            <w:pPr>
              <w:spacing w:line="276" w:lineRule="auto"/>
            </w:pPr>
            <w:r>
              <w:t>0.00724</w:t>
            </w:r>
          </w:p>
        </w:tc>
        <w:tc>
          <w:tcPr>
            <w:tcW w:type="dxa" w:w="960"/>
          </w:tcPr>
          <w:p>
            <w:pPr>
              <w:spacing w:line="276" w:lineRule="auto"/>
            </w:pPr>
            <w:r>
              <w:t>0.00042</w:t>
            </w:r>
          </w:p>
        </w:tc>
        <w:tc>
          <w:tcPr>
            <w:tcW w:type="dxa" w:w="960"/>
          </w:tcPr>
          <w:p>
            <w:pPr>
              <w:spacing w:line="276" w:lineRule="auto"/>
            </w:pPr>
            <w:r>
              <w:t>0.640</w:t>
            </w:r>
          </w:p>
        </w:tc>
        <w:tc>
          <w:tcPr>
            <w:tcW w:type="dxa" w:w="960"/>
          </w:tcPr>
          <w:p>
            <w:pPr>
              <w:spacing w:line="276" w:lineRule="auto"/>
            </w:pPr>
            <w:r>
              <w:t>0.060</w:t>
            </w:r>
          </w:p>
        </w:tc>
      </w:tr>
      <w:tr>
        <w:tc>
          <w:tcPr>
            <w:tcW w:type="dxa" w:w="960"/>
          </w:tcPr>
          <w:p>
            <w:pPr>
              <w:spacing w:line="276" w:lineRule="auto"/>
            </w:pPr>
            <w:r>
              <w:t>PS_propensity_score</w:t>
            </w:r>
          </w:p>
        </w:tc>
        <w:tc>
          <w:tcPr>
            <w:tcW w:type="dxa" w:w="960"/>
          </w:tcPr>
          <w:p>
            <w:pPr>
              <w:spacing w:line="276" w:lineRule="auto"/>
            </w:pPr>
            <w:r>
              <w:t>0.01676</w:t>
            </w:r>
          </w:p>
        </w:tc>
        <w:tc>
          <w:tcPr>
            <w:tcW w:type="dxa" w:w="960"/>
          </w:tcPr>
          <w:p>
            <w:pPr>
              <w:spacing w:line="276" w:lineRule="auto"/>
            </w:pPr>
            <w:r>
              <w:t>0.00223</w:t>
            </w:r>
          </w:p>
        </w:tc>
        <w:tc>
          <w:tcPr>
            <w:tcW w:type="dxa" w:w="960"/>
          </w:tcPr>
          <w:p>
            <w:pPr>
              <w:spacing w:line="276" w:lineRule="auto"/>
            </w:pPr>
            <w:r>
              <w:t>0.060</w:t>
            </w:r>
          </w:p>
        </w:tc>
        <w:tc>
          <w:tcPr>
            <w:tcW w:type="dxa" w:w="960"/>
          </w:tcPr>
          <w:p>
            <w:pPr>
              <w:spacing w:line="276" w:lineRule="auto"/>
            </w:pPr>
            <w:r>
              <w:t>0.111</w:t>
            </w:r>
          </w:p>
        </w:tc>
        <w:tc>
          <w:tcPr>
            <w:tcW w:type="dxa" w:w="960"/>
          </w:tcPr>
          <w:p>
            <w:pPr>
              <w:spacing w:line="276" w:lineRule="auto"/>
            </w:pPr>
            <w:r>
              <w:t>0.01653</w:t>
            </w:r>
          </w:p>
        </w:tc>
        <w:tc>
          <w:tcPr>
            <w:tcW w:type="dxa" w:w="960"/>
          </w:tcPr>
          <w:p>
            <w:pPr>
              <w:spacing w:line="276" w:lineRule="auto"/>
            </w:pPr>
            <w:r>
              <w:t>0.00208</w:t>
            </w:r>
          </w:p>
        </w:tc>
        <w:tc>
          <w:tcPr>
            <w:tcW w:type="dxa" w:w="960"/>
          </w:tcPr>
          <w:p>
            <w:pPr>
              <w:spacing w:line="276" w:lineRule="auto"/>
            </w:pPr>
            <w:r>
              <w:t>0.178</w:t>
            </w:r>
          </w:p>
        </w:tc>
        <w:tc>
          <w:tcPr>
            <w:tcW w:type="dxa" w:w="960"/>
          </w:tcPr>
          <w:p>
            <w:pPr>
              <w:spacing w:line="276" w:lineRule="auto"/>
            </w:pPr>
            <w:r>
              <w:t>0.060</w:t>
            </w:r>
          </w:p>
        </w:tc>
      </w:tr>
      <w:tr>
        <w:tc>
          <w:tcPr>
            <w:tcW w:type="dxa" w:w="960"/>
          </w:tcPr>
          <w:p>
            <w:pPr>
              <w:spacing w:line="276" w:lineRule="auto"/>
            </w:pPr>
            <w:r>
              <w:t>GMM</w:t>
            </w:r>
          </w:p>
        </w:tc>
        <w:tc>
          <w:tcPr>
            <w:tcW w:type="dxa" w:w="960"/>
          </w:tcPr>
          <w:p>
            <w:pPr>
              <w:spacing w:line="276" w:lineRule="auto"/>
            </w:pPr>
            <w:r>
              <w:t>0.01736</w:t>
            </w:r>
          </w:p>
        </w:tc>
        <w:tc>
          <w:tcPr>
            <w:tcW w:type="dxa" w:w="960"/>
          </w:tcPr>
          <w:p>
            <w:pPr>
              <w:spacing w:line="276" w:lineRule="auto"/>
            </w:pPr>
            <w:r>
              <w:t>0.00272</w:t>
            </w:r>
          </w:p>
        </w:tc>
        <w:tc>
          <w:tcPr>
            <w:tcW w:type="dxa" w:w="960"/>
          </w:tcPr>
          <w:p>
            <w:pPr>
              <w:spacing w:line="276" w:lineRule="auto"/>
            </w:pPr>
            <w:r>
              <w:t>0.027</w:t>
            </w:r>
          </w:p>
        </w:tc>
        <w:tc>
          <w:tcPr>
            <w:tcW w:type="dxa" w:w="960"/>
          </w:tcPr>
          <w:p>
            <w:pPr>
              <w:spacing w:line="276" w:lineRule="auto"/>
            </w:pPr>
            <w:r>
              <w:t>0.082</w:t>
            </w:r>
          </w:p>
        </w:tc>
        <w:tc>
          <w:tcPr>
            <w:tcW w:type="dxa" w:w="960"/>
          </w:tcPr>
          <w:p>
            <w:pPr>
              <w:spacing w:line="276" w:lineRule="auto"/>
            </w:pPr>
            <w:r>
              <w:t>0.01894</w:t>
            </w:r>
          </w:p>
        </w:tc>
        <w:tc>
          <w:tcPr>
            <w:tcW w:type="dxa" w:w="960"/>
          </w:tcPr>
          <w:p>
            <w:pPr>
              <w:spacing w:line="276" w:lineRule="auto"/>
            </w:pPr>
            <w:r>
              <w:t>0.00233</w:t>
            </w:r>
          </w:p>
        </w:tc>
        <w:tc>
          <w:tcPr>
            <w:tcW w:type="dxa" w:w="960"/>
          </w:tcPr>
          <w:p>
            <w:pPr>
              <w:spacing w:line="276" w:lineRule="auto"/>
            </w:pPr>
            <w:r>
              <w:t>0.058</w:t>
            </w:r>
          </w:p>
        </w:tc>
        <w:tc>
          <w:tcPr>
            <w:tcW w:type="dxa" w:w="960"/>
          </w:tcPr>
          <w:p>
            <w:pPr>
              <w:spacing w:line="276" w:lineRule="auto"/>
            </w:pPr>
            <w:r>
              <w:t>0.058</w:t>
            </w:r>
          </w:p>
        </w:tc>
      </w:tr>
      <w:tr>
        <w:tc>
          <w:tcPr>
            <w:tcW w:type="dxa" w:w="960"/>
          </w:tcPr>
          <w:p>
            <w:pPr>
              <w:spacing w:line="276" w:lineRule="auto"/>
            </w:pPr>
            <w:r>
              <w:t>Prognostic_score</w:t>
            </w:r>
          </w:p>
        </w:tc>
        <w:tc>
          <w:tcPr>
            <w:tcW w:type="dxa" w:w="960"/>
          </w:tcPr>
          <w:p>
            <w:pPr>
              <w:spacing w:line="276" w:lineRule="auto"/>
            </w:pPr>
            <w:r>
              <w:t>0.01374</w:t>
            </w:r>
          </w:p>
        </w:tc>
        <w:tc>
          <w:tcPr>
            <w:tcW w:type="dxa" w:w="960"/>
          </w:tcPr>
          <w:p>
            <w:pPr>
              <w:spacing w:line="276" w:lineRule="auto"/>
            </w:pPr>
            <w:r>
              <w:t>0.00245</w:t>
            </w:r>
          </w:p>
        </w:tc>
        <w:tc>
          <w:tcPr>
            <w:tcW w:type="dxa" w:w="960"/>
          </w:tcPr>
          <w:p>
            <w:pPr>
              <w:spacing w:line="276" w:lineRule="auto"/>
            </w:pPr>
            <w:r>
              <w:t>0.230</w:t>
            </w:r>
          </w:p>
        </w:tc>
        <w:tc>
          <w:tcPr>
            <w:tcW w:type="dxa" w:w="960"/>
          </w:tcPr>
          <w:p>
            <w:pPr>
              <w:spacing w:line="276" w:lineRule="auto"/>
            </w:pPr>
            <w:r>
              <w:t>0.145</w:t>
            </w:r>
          </w:p>
        </w:tc>
        <w:tc>
          <w:tcPr>
            <w:tcW w:type="dxa" w:w="960"/>
          </w:tcPr>
          <w:p>
            <w:pPr>
              <w:spacing w:line="276" w:lineRule="auto"/>
            </w:pPr>
            <w:r>
              <w:t>0.01464</w:t>
            </w:r>
          </w:p>
        </w:tc>
        <w:tc>
          <w:tcPr>
            <w:tcW w:type="dxa" w:w="960"/>
          </w:tcPr>
          <w:p>
            <w:pPr>
              <w:spacing w:line="276" w:lineRule="auto"/>
            </w:pPr>
            <w:r>
              <w:t>0.00189</w:t>
            </w:r>
          </w:p>
        </w:tc>
        <w:tc>
          <w:tcPr>
            <w:tcW w:type="dxa" w:w="960"/>
          </w:tcPr>
          <w:p>
            <w:pPr>
              <w:spacing w:line="276" w:lineRule="auto"/>
            </w:pPr>
            <w:r>
              <w:t>0.272</w:t>
            </w:r>
          </w:p>
        </w:tc>
        <w:tc>
          <w:tcPr>
            <w:tcW w:type="dxa" w:w="960"/>
          </w:tcPr>
          <w:p>
            <w:pPr>
              <w:spacing w:line="276" w:lineRule="auto"/>
            </w:pPr>
            <w:r>
              <w:t>0.064</w:t>
            </w:r>
          </w:p>
        </w:tc>
      </w:tr>
      <w:tr>
        <w:tc>
          <w:tcPr>
            <w:tcW w:type="dxa" w:w="960"/>
          </w:tcPr>
          <w:p>
            <w:pPr>
              <w:spacing w:line="276" w:lineRule="auto"/>
            </w:pPr>
            <w:r>
              <w:t>2B_clustering</w:t>
            </w:r>
          </w:p>
        </w:tc>
        <w:tc>
          <w:tcPr>
            <w:tcW w:type="dxa" w:w="960"/>
          </w:tcPr>
          <w:p>
            <w:pPr>
              <w:spacing w:line="276" w:lineRule="auto"/>
            </w:pPr>
            <w:r>
              <w:t>0.01684</w:t>
            </w:r>
          </w:p>
        </w:tc>
        <w:tc>
          <w:tcPr>
            <w:tcW w:type="dxa" w:w="960"/>
          </w:tcPr>
          <w:p>
            <w:pPr>
              <w:spacing w:line="276" w:lineRule="auto"/>
            </w:pPr>
            <w:r>
              <w:t>0.00270</w:t>
            </w:r>
          </w:p>
        </w:tc>
        <w:tc>
          <w:tcPr>
            <w:tcW w:type="dxa" w:w="960"/>
          </w:tcPr>
          <w:p>
            <w:pPr>
              <w:spacing w:line="276" w:lineRule="auto"/>
            </w:pPr>
            <w:r>
              <w:t>0.056</w:t>
            </w:r>
          </w:p>
        </w:tc>
        <w:tc>
          <w:tcPr>
            <w:tcW w:type="dxa" w:w="960"/>
          </w:tcPr>
          <w:p>
            <w:pPr>
              <w:spacing w:line="276" w:lineRule="auto"/>
            </w:pPr>
            <w:r>
              <w:t>0.159</w:t>
            </w:r>
          </w:p>
        </w:tc>
        <w:tc>
          <w:tcPr>
            <w:tcW w:type="dxa" w:w="960"/>
          </w:tcPr>
          <w:p>
            <w:pPr>
              <w:spacing w:line="276" w:lineRule="auto"/>
            </w:pPr>
            <w:r>
              <w:t>0.01773</w:t>
            </w:r>
          </w:p>
        </w:tc>
        <w:tc>
          <w:tcPr>
            <w:tcW w:type="dxa" w:w="960"/>
          </w:tcPr>
          <w:p>
            <w:pPr>
              <w:spacing w:line="276" w:lineRule="auto"/>
            </w:pPr>
            <w:r>
              <w:t>0.00200</w:t>
            </w:r>
          </w:p>
        </w:tc>
        <w:tc>
          <w:tcPr>
            <w:tcW w:type="dxa" w:w="960"/>
          </w:tcPr>
          <w:p>
            <w:pPr>
              <w:spacing w:line="276" w:lineRule="auto"/>
            </w:pPr>
            <w:r>
              <w:t>0.118</w:t>
            </w:r>
          </w:p>
        </w:tc>
        <w:tc>
          <w:tcPr>
            <w:tcW w:type="dxa" w:w="960"/>
          </w:tcPr>
          <w:p>
            <w:pPr>
              <w:spacing w:line="276" w:lineRule="auto"/>
            </w:pPr>
            <w:r>
              <w:t>0.064</w:t>
            </w:r>
          </w:p>
        </w:tc>
      </w:tr>
    </w:tbl>
    <w:p>
      <w:pPr>
        <w:spacing w:before="240" w:line="480" w:lineRule="auto"/>
      </w:pPr>
      <w:r/>
      <w:r>
        <w:rPr>
          <w:i/>
        </w:rPr>
        <w:t>Table 3. Linear versus non-linear Z-to-X mapping: random-effects ATE bias and relative bias reduction (n=2000, K=5, z=1.0, zx=1.0).</w:t>
      </w:r>
      <w:r/>
    </w:p>
    <w:p>
      <w:pPr>
        <w:spacing w:line="480" w:lineRule="auto"/>
      </w:pPr>
      <w:r>
        <w:t>Figure 5 shows random-effects ATE bias reduction under the non-linear mapping.</w:t>
      </w:r>
    </w:p>
    <w:p>
      <w:pPr>
        <w:spacing w:after="120" w:line="480" w:lineRule="auto"/>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line="480" w:lineRule="auto"/>
        <w:jc w:val="center"/>
      </w:pPr>
      <w:r>
        <w:rPr>
          <w:b/>
        </w:rPr>
        <w:t>Figure 5. Non-linear Z-&gt;X robustness: random-effects ATE bias reduction (n=2000, K=5).</w:t>
      </w:r>
    </w:p>
    <w:p>
      <w:pPr>
        <w:pStyle w:val="Heading2"/>
        <w:spacing w:line="480" w:lineRule="auto"/>
      </w:pPr>
      <w:r>
        <w:t>Diagnostic discrimination against the empirical null</w:t>
      </w:r>
    </w:p>
    <w:p>
      <w:pPr>
        <w:spacing w:line="480" w:lineRule="auto"/>
      </w:pPr>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S5 reports the empirical null percentiles used as thresholds.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S7 reports absolute-deviation scores using distance from the empirical null mean (e.g. residual C1 abs-AUC 0.473); these did not rescue discrimination, indicating that the weak ROC performance is structural rather than an artifact of the one-sided lower-tail threshold.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76" w:lineRule="auto"/>
            </w:pPr>
            <w:r>
              <w:rPr>
                <w:b/>
              </w:rPr>
              <w:t>Method</w:t>
            </w:r>
          </w:p>
        </w:tc>
        <w:tc>
          <w:tcPr>
            <w:tcW w:type="dxa" w:w="1728"/>
          </w:tcPr>
          <w:p>
            <w:pPr>
              <w:spacing w:line="276" w:lineRule="auto"/>
            </w:pPr>
            <w:r>
              <w:rPr>
                <w:b/>
              </w:rPr>
              <w:t>C1 AUC</w:t>
            </w:r>
          </w:p>
        </w:tc>
        <w:tc>
          <w:tcPr>
            <w:tcW w:type="dxa" w:w="1728"/>
          </w:tcPr>
          <w:p>
            <w:pPr>
              <w:spacing w:line="276" w:lineRule="auto"/>
            </w:pPr>
            <w:r>
              <w:rPr>
                <w:b/>
              </w:rPr>
              <w:t>C1 TPR@5% FPR</w:t>
            </w:r>
          </w:p>
        </w:tc>
        <w:tc>
          <w:tcPr>
            <w:tcW w:type="dxa" w:w="1728"/>
          </w:tcPr>
          <w:p>
            <w:pPr>
              <w:spacing w:line="276" w:lineRule="auto"/>
            </w:pPr>
            <m:oMath>
              <m:sSub>
                <m:e>
                  <m:r>
                    <m:t xml:space="preserve">W</m:t>
                  </m:r>
                </m:e>
                <m:sub>
                  <m:r>
                    <m:t xml:space="preserve">est</m:t>
                  </m:r>
                </m:sub>
              </m:sSub>
            </m:oMath>
            <w:r>
              <w:rPr>
                <w:b/>
              </w:rPr>
              <w:t xml:space="preserve"> AUC</w:t>
            </w:r>
          </w:p>
        </w:tc>
        <w:tc>
          <w:tcPr>
            <w:tcW w:type="dxa" w:w="1728"/>
          </w:tcPr>
          <w:p>
            <w:pPr>
              <w:spacing w:line="276" w:lineRule="auto"/>
            </w:pPr>
            <m:oMath>
              <m:sSub>
                <m:e>
                  <m:r>
                    <m:t xml:space="preserve">W</m:t>
                  </m:r>
                </m:e>
                <m:sub>
                  <m:r>
                    <m:t xml:space="preserve">est</m:t>
                  </m:r>
                </m:sub>
              </m:sSub>
            </m:oMath>
            <w:r>
              <w:rPr>
                <w:b/>
              </w:rPr>
              <w:t xml:space="preserve"> TPR@5% FPR</w:t>
            </w:r>
          </w:p>
        </w:tc>
      </w:tr>
      <w:tr>
        <w:tc>
          <w:tcPr>
            <w:tcW w:type="dxa" w:w="1728"/>
          </w:tcPr>
          <w:p>
            <w:pPr>
              <w:spacing w:line="276" w:lineRule="auto"/>
            </w:pPr>
            <w:r>
              <w:t>1A_predicted_prob</w:t>
            </w:r>
          </w:p>
        </w:tc>
        <w:tc>
          <w:tcPr>
            <w:tcW w:type="dxa" w:w="1728"/>
          </w:tcPr>
          <w:p>
            <w:pPr>
              <w:spacing w:line="276" w:lineRule="auto"/>
            </w:pPr>
            <w:r>
              <w:t>0.506</w:t>
            </w:r>
          </w:p>
        </w:tc>
        <w:tc>
          <w:tcPr>
            <w:tcW w:type="dxa" w:w="1728"/>
          </w:tcPr>
          <w:p>
            <w:pPr>
              <w:spacing w:line="276" w:lineRule="auto"/>
            </w:pPr>
            <w:r>
              <w:t>0.060</w:t>
            </w:r>
          </w:p>
        </w:tc>
        <w:tc>
          <w:tcPr>
            <w:tcW w:type="dxa" w:w="1728"/>
          </w:tcPr>
          <w:p>
            <w:pPr>
              <w:spacing w:line="276" w:lineRule="auto"/>
            </w:pPr>
            <w:r>
              <w:t>0.541</w:t>
            </w:r>
          </w:p>
        </w:tc>
        <w:tc>
          <w:tcPr>
            <w:tcW w:type="dxa" w:w="1728"/>
          </w:tcPr>
          <w:p>
            <w:pPr>
              <w:spacing w:line="276" w:lineRule="auto"/>
            </w:pPr>
            <w:r>
              <w:t>0.080</w:t>
            </w:r>
          </w:p>
        </w:tc>
      </w:tr>
      <w:tr>
        <w:tc>
          <w:tcPr>
            <w:tcW w:type="dxa" w:w="1728"/>
          </w:tcPr>
          <w:p>
            <w:pPr>
              <w:spacing w:line="276" w:lineRule="auto"/>
            </w:pPr>
            <w:r>
              <w:t>1B_residual</w:t>
            </w:r>
          </w:p>
        </w:tc>
        <w:tc>
          <w:tcPr>
            <w:tcW w:type="dxa" w:w="1728"/>
          </w:tcPr>
          <w:p>
            <w:pPr>
              <w:spacing w:line="276" w:lineRule="auto"/>
            </w:pPr>
            <w:r>
              <w:t>0.460</w:t>
            </w:r>
          </w:p>
        </w:tc>
        <w:tc>
          <w:tcPr>
            <w:tcW w:type="dxa" w:w="1728"/>
          </w:tcPr>
          <w:p>
            <w:pPr>
              <w:spacing w:line="276" w:lineRule="auto"/>
            </w:pPr>
            <w:r>
              <w:t>0.060</w:t>
            </w:r>
          </w:p>
        </w:tc>
        <w:tc>
          <w:tcPr>
            <w:tcW w:type="dxa" w:w="1728"/>
          </w:tcPr>
          <w:p>
            <w:pPr>
              <w:spacing w:line="276" w:lineRule="auto"/>
            </w:pPr>
            <w:r>
              <w:t>0.542</w:t>
            </w:r>
          </w:p>
        </w:tc>
        <w:tc>
          <w:tcPr>
            <w:tcW w:type="dxa" w:w="1728"/>
          </w:tcPr>
          <w:p>
            <w:pPr>
              <w:spacing w:line="276" w:lineRule="auto"/>
            </w:pPr>
            <w:r>
              <w:t>0.060</w:t>
            </w:r>
          </w:p>
        </w:tc>
      </w:tr>
      <w:tr>
        <w:tc>
          <w:tcPr>
            <w:tcW w:type="dxa" w:w="1728"/>
          </w:tcPr>
          <w:p>
            <w:pPr>
              <w:spacing w:line="276" w:lineRule="auto"/>
            </w:pPr>
            <w:r>
              <w:t>2A_PCA_cum60</w:t>
            </w:r>
          </w:p>
        </w:tc>
        <w:tc>
          <w:tcPr>
            <w:tcW w:type="dxa" w:w="1728"/>
          </w:tcPr>
          <w:p>
            <w:pPr>
              <w:spacing w:line="276" w:lineRule="auto"/>
            </w:pPr>
            <w:r>
              <w:t>0.464</w:t>
            </w:r>
          </w:p>
        </w:tc>
        <w:tc>
          <w:tcPr>
            <w:tcW w:type="dxa" w:w="1728"/>
          </w:tcPr>
          <w:p>
            <w:pPr>
              <w:spacing w:line="276" w:lineRule="auto"/>
            </w:pPr>
            <w:r>
              <w:t>0.060</w:t>
            </w:r>
          </w:p>
        </w:tc>
        <w:tc>
          <w:tcPr>
            <w:tcW w:type="dxa" w:w="1728"/>
          </w:tcPr>
          <w:p>
            <w:pPr>
              <w:spacing w:line="276" w:lineRule="auto"/>
            </w:pPr>
            <w:r>
              <w:t>0.490</w:t>
            </w:r>
          </w:p>
        </w:tc>
        <w:tc>
          <w:tcPr>
            <w:tcW w:type="dxa" w:w="1728"/>
          </w:tcPr>
          <w:p>
            <w:pPr>
              <w:spacing w:line="276" w:lineRule="auto"/>
            </w:pPr>
            <w:r>
              <w:t>0.060</w:t>
            </w:r>
          </w:p>
        </w:tc>
      </w:tr>
      <w:tr>
        <w:tc>
          <w:tcPr>
            <w:tcW w:type="dxa" w:w="1728"/>
          </w:tcPr>
          <w:p>
            <w:pPr>
              <w:spacing w:line="276" w:lineRule="auto"/>
            </w:pPr>
            <w:r>
              <w:t>2B_clustering</w:t>
            </w:r>
          </w:p>
        </w:tc>
        <w:tc>
          <w:tcPr>
            <w:tcW w:type="dxa" w:w="1728"/>
          </w:tcPr>
          <w:p>
            <w:pPr>
              <w:spacing w:line="276" w:lineRule="auto"/>
            </w:pPr>
            <w:r>
              <w:t>0.545</w:t>
            </w:r>
          </w:p>
        </w:tc>
        <w:tc>
          <w:tcPr>
            <w:tcW w:type="dxa" w:w="1728"/>
          </w:tcPr>
          <w:p>
            <w:pPr>
              <w:spacing w:line="276" w:lineRule="auto"/>
            </w:pPr>
            <w:r>
              <w:t>0.020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GMM</w:t>
            </w:r>
          </w:p>
        </w:tc>
        <w:tc>
          <w:tcPr>
            <w:tcW w:type="dxa" w:w="1728"/>
          </w:tcPr>
          <w:p>
            <w:pPr>
              <w:spacing w:line="276" w:lineRule="auto"/>
            </w:pPr>
            <w:r>
              <w:t>0.489</w:t>
            </w:r>
          </w:p>
        </w:tc>
        <w:tc>
          <w:tcPr>
            <w:tcW w:type="dxa" w:w="1728"/>
          </w:tcPr>
          <w:p>
            <w:pPr>
              <w:spacing w:line="276" w:lineRule="auto"/>
            </w:pPr>
            <w:r>
              <w:t>0.060</w:t>
            </w:r>
          </w:p>
        </w:tc>
        <w:tc>
          <w:tcPr>
            <w:tcW w:type="dxa" w:w="1728"/>
          </w:tcPr>
          <w:p>
            <w:pPr>
              <w:spacing w:line="276" w:lineRule="auto"/>
            </w:pPr>
            <w:r>
              <w:t>0.561</w:t>
            </w:r>
          </w:p>
        </w:tc>
        <w:tc>
          <w:tcPr>
            <w:tcW w:type="dxa" w:w="1728"/>
          </w:tcPr>
          <w:p>
            <w:pPr>
              <w:spacing w:line="276" w:lineRule="auto"/>
            </w:pPr>
            <w:r>
              <w:t>0.080</w:t>
            </w:r>
          </w:p>
        </w:tc>
      </w:tr>
      <w:tr>
        <w:tc>
          <w:tcPr>
            <w:tcW w:type="dxa" w:w="1728"/>
          </w:tcPr>
          <w:p>
            <w:pPr>
              <w:spacing w:line="276" w:lineRule="auto"/>
            </w:pPr>
            <w:r>
              <w:t>PS_propensity_score</w:t>
            </w:r>
          </w:p>
        </w:tc>
        <w:tc>
          <w:tcPr>
            <w:tcW w:type="dxa" w:w="1728"/>
          </w:tcPr>
          <w:p>
            <w:pPr>
              <w:spacing w:line="276" w:lineRule="auto"/>
            </w:pPr>
            <w:r>
              <w:t>0.481</w:t>
            </w:r>
          </w:p>
        </w:tc>
        <w:tc>
          <w:tcPr>
            <w:tcW w:type="dxa" w:w="1728"/>
          </w:tcPr>
          <w:p>
            <w:pPr>
              <w:spacing w:line="276" w:lineRule="auto"/>
            </w:pPr>
            <w:r>
              <w:t>0.060</w:t>
            </w:r>
          </w:p>
        </w:tc>
        <w:tc>
          <w:tcPr>
            <w:tcW w:type="dxa" w:w="1728"/>
          </w:tcPr>
          <w:p>
            <w:pPr>
              <w:spacing w:line="276" w:lineRule="auto"/>
            </w:pPr>
            <w:r>
              <w:t>0.494</w:t>
            </w:r>
          </w:p>
        </w:tc>
        <w:tc>
          <w:tcPr>
            <w:tcW w:type="dxa" w:w="1728"/>
          </w:tcPr>
          <w:p>
            <w:pPr>
              <w:spacing w:line="276" w:lineRule="auto"/>
            </w:pPr>
            <w:r>
              <w:t>0.020</w:t>
            </w:r>
          </w:p>
        </w:tc>
      </w:tr>
      <w:tr>
        <w:tc>
          <w:tcPr>
            <w:tcW w:type="dxa" w:w="1728"/>
          </w:tcPr>
          <w:p>
            <w:pPr>
              <w:spacing w:line="276" w:lineRule="auto"/>
            </w:pPr>
            <w:r>
              <w:t>Prognostic_score</w:t>
            </w:r>
          </w:p>
        </w:tc>
        <w:tc>
          <w:tcPr>
            <w:tcW w:type="dxa" w:w="1728"/>
          </w:tcPr>
          <w:p>
            <w:pPr>
              <w:spacing w:line="276" w:lineRule="auto"/>
            </w:pPr>
            <w:r>
              <w:t>0.520</w:t>
            </w:r>
          </w:p>
        </w:tc>
        <w:tc>
          <w:tcPr>
            <w:tcW w:type="dxa" w:w="1728"/>
          </w:tcPr>
          <w:p>
            <w:pPr>
              <w:spacing w:line="276" w:lineRule="auto"/>
            </w:pPr>
            <w:r>
              <w:t>0.020</w:t>
            </w:r>
          </w:p>
        </w:tc>
        <w:tc>
          <w:tcPr>
            <w:tcW w:type="dxa" w:w="1728"/>
          </w:tcPr>
          <w:p>
            <w:pPr>
              <w:spacing w:line="276" w:lineRule="auto"/>
            </w:pPr>
            <w:r>
              <w:t>0.528</w:t>
            </w:r>
          </w:p>
        </w:tc>
        <w:tc>
          <w:tcPr>
            <w:tcW w:type="dxa" w:w="1728"/>
          </w:tcPr>
          <w:p>
            <w:pPr>
              <w:spacing w:line="276" w:lineRule="auto"/>
            </w:pPr>
            <w:r>
              <w:t>0.040</w:t>
            </w:r>
          </w:p>
        </w:tc>
      </w:tr>
      <w:tr>
        <w:tc>
          <w:tcPr>
            <w:tcW w:type="dxa" w:w="1728"/>
          </w:tcPr>
          <w:p>
            <w:pPr>
              <w:spacing w:line="276" w:lineRule="auto"/>
            </w:pPr>
            <w:r>
              <w:t>baseline_oracle_kmeans</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0.506</w:t>
            </w:r>
          </w:p>
        </w:tc>
        <w:tc>
          <w:tcPr>
            <w:tcW w:type="dxa" w:w="1728"/>
          </w:tcPr>
          <w:p>
            <w:pPr>
              <w:spacing w:line="276" w:lineRule="auto"/>
            </w:pPr>
            <w:r>
              <w:t>0.040</w:t>
            </w:r>
          </w:p>
        </w:tc>
      </w:tr>
      <w:tr>
        <w:tc>
          <w:tcPr>
            <w:tcW w:type="dxa" w:w="1728"/>
          </w:tcPr>
          <w:p>
            <w:pPr>
              <w:spacing w:line="276" w:lineRule="auto"/>
            </w:pPr>
            <w:r>
              <w:t>baseline_oracle_quantile</w:t>
            </w:r>
          </w:p>
        </w:tc>
        <w:tc>
          <w:tcPr>
            <w:tcW w:type="dxa" w:w="1728"/>
          </w:tcPr>
          <w:p>
            <w:pPr>
              <w:spacing w:line="276" w:lineRule="auto"/>
            </w:pPr>
            <w:r>
              <w:t>0.507</w:t>
            </w:r>
          </w:p>
        </w:tc>
        <w:tc>
          <w:tcPr>
            <w:tcW w:type="dxa" w:w="1728"/>
          </w:tcPr>
          <w:p>
            <w:pPr>
              <w:spacing w:line="276" w:lineRule="auto"/>
            </w:pPr>
            <w:r>
              <w:t>0.000</w:t>
            </w:r>
          </w:p>
        </w:tc>
        <w:tc>
          <w:tcPr>
            <w:tcW w:type="dxa" w:w="1728"/>
          </w:tcPr>
          <w:p>
            <w:pPr>
              <w:spacing w:line="276" w:lineRule="auto"/>
            </w:pPr>
            <w:r>
              <w:t>0.537</w:t>
            </w:r>
          </w:p>
        </w:tc>
        <w:tc>
          <w:tcPr>
            <w:tcW w:type="dxa" w:w="1728"/>
          </w:tcPr>
          <w:p>
            <w:pPr>
              <w:spacing w:line="276" w:lineRule="auto"/>
            </w:pPr>
            <w:r>
              <w:t>0.060</w:t>
            </w:r>
          </w:p>
        </w:tc>
      </w:tr>
      <w:tr>
        <w:tc>
          <w:tcPr>
            <w:tcW w:type="dxa" w:w="1728"/>
          </w:tcPr>
          <w:p>
            <w:pPr>
              <w:spacing w:line="276" w:lineRule="auto"/>
            </w:pPr>
            <w:r>
              <w:t>baseline_random</w:t>
            </w:r>
          </w:p>
        </w:tc>
        <w:tc>
          <w:tcPr>
            <w:tcW w:type="dxa" w:w="1728"/>
          </w:tcPr>
          <w:p>
            <w:pPr>
              <w:spacing w:line="276" w:lineRule="auto"/>
            </w:pPr>
            <w:r>
              <w:t>0.544</w:t>
            </w:r>
          </w:p>
        </w:tc>
        <w:tc>
          <w:tcPr>
            <w:tcW w:type="dxa" w:w="1728"/>
          </w:tcPr>
          <w:p>
            <w:pPr>
              <w:spacing w:line="276" w:lineRule="auto"/>
            </w:pPr>
            <w:r>
              <w:t>0.040</w:t>
            </w:r>
          </w:p>
        </w:tc>
        <w:tc>
          <w:tcPr>
            <w:tcW w:type="dxa" w:w="1728"/>
          </w:tcPr>
          <w:p>
            <w:pPr>
              <w:spacing w:line="276" w:lineRule="auto"/>
            </w:pPr>
            <w:r>
              <w:t>0.427</w:t>
            </w:r>
          </w:p>
        </w:tc>
        <w:tc>
          <w:tcPr>
            <w:tcW w:type="dxa" w:w="1728"/>
          </w:tcPr>
          <w:p>
            <w:pPr>
              <w:spacing w:line="276" w:lineRule="auto"/>
            </w:pPr>
            <w:r>
              <w:t>0.040</w:t>
            </w:r>
          </w:p>
        </w:tc>
      </w:tr>
    </w:tbl>
    <w:p>
      <w:pPr>
        <w:spacing w:before="240" w:line="480" w:lineRule="auto"/>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line="480" w:lineRule="auto"/>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C1 and W_est do not provide reliable classification on their own in the primary scenario; they should be used only as descriptive flags calibrated to the empirical null."/>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 C1 and </w:t>
      </w:r>
      <m:oMath>
        <m:sSub>
          <m:e>
            <m:r>
              <m:t xml:space="preserve">W</m:t>
            </m:r>
          </m:e>
          <m:sub>
            <m:r>
              <m:t xml:space="preserve">est</m:t>
            </m:r>
          </m:sub>
        </m:sSub>
      </m:oMath>
      <w:r>
        <w:rPr>
          <w:b/>
        </w:rPr>
        <w:t xml:space="preserve"> do not provide reliable classification on their own in the primary scenario; they should be used only as descriptive flags calibrated to the empirical null.</w:t>
      </w:r>
    </w:p>
    <w:p>
      <w:pPr>
        <w:pStyle w:val="Heading2"/>
        <w:spacing w:line="480" w:lineRule="auto"/>
      </w:pPr>
      <w:r>
        <w:t>CATE variance explained</w:t>
      </w:r>
    </w:p>
    <w:p>
      <w:pPr>
        <w:spacing w:line="480" w:lineRule="auto"/>
      </w:pPr>
      <w:r>
        <w:t xml:space="preserve">Figure 7 shows CATE variance explained (</w:t>
      </w:r>
      <m:oMath>
        <m:sSup>
          <m:e>
            <m:r>
              <m:t xml:space="preserve">η</m:t>
            </m:r>
          </m:e>
          <m:sup>
            <m:r>
              <m:t xml:space="preserve">2</m:t>
            </m:r>
          </m:sup>
        </m:sSup>
      </m:oMath>
      <w:r>
        <w:t xml:space="preserve">,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w:t>
      </w:r>
      <m:oMath>
        <m:sSup>
          <m:e>
            <m:r>
              <m:t xml:space="preserve">η</m:t>
            </m:r>
          </m:e>
          <m:sup>
            <m:r>
              <m:t xml:space="preserve">2</m:t>
            </m:r>
          </m:sup>
        </m:sSup>
      </m:oMath>
      <w:r>
        <w:t xml:space="preserve">,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line="480" w:lineRule="auto"/>
        <w:jc w:val="center"/>
      </w:pPr>
      <w:r>
        <w:drawing>
          <wp:inline xmlns:a="http://schemas.openxmlformats.org/drawingml/2006/main" xmlns:pic="http://schemas.openxmlformats.org/drawingml/2006/picture">
            <wp:extent cx="5303520" cy="3314700"/>
            <wp:docPr id="7" name="Picture 7" descr="Figure 7. CATE variance explained (eta^2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line="480" w:lineRule="auto"/>
        <w:jc w:val="center"/>
      </w:pPr>
      <w:r>
        <w:rPr>
          <w:b/>
        </w:rPr>
        <w:t xml:space="preserve">Figure 7. CATE variance explained (</w:t>
      </w:r>
      <m:oMath>
        <m:sSup>
          <m:e>
            <m:r>
              <m:t xml:space="preserve">η</m:t>
            </m:r>
          </m:e>
          <m:sup>
            <m:r>
              <m:t xml:space="preserve">2</m:t>
            </m:r>
          </m:sup>
        </m:sSup>
      </m:oMath>
      <w:r>
        <w:rPr>
          <w:b/>
        </w:rPr>
        <w:t xml:space="preserve">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spacing w:line="480" w:lineRule="auto"/>
      </w:pPr>
      <w:r>
        <w:t>Recommendations for method choice</w:t>
      </w:r>
    </w:p>
    <w:p>
      <w:pPr>
        <w:spacing w:line="480" w:lineRule="auto"/>
      </w:pPr>
      <w:r>
        <w:t>Table 5 translates the simulation results into practical guidance. It links scenario characteristics to the method that performed best in the benchmark, states the rationale, and notes the key caveat. The recommendations reflect the patterns in Tables 1–4 and Supplementary Tables S1–S4; they are not derived from a new optimisation and should be treated as heuristics for sensitivity analysis rather than prescriptive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76" w:lineRule="auto"/>
            </w:pPr>
            <w:r>
              <w:rPr>
                <w:b/>
              </w:rPr>
              <w:t>Scenario characteristic</w:t>
            </w:r>
          </w:p>
        </w:tc>
        <w:tc>
          <w:tcPr>
            <w:tcW w:type="dxa" w:w="2160"/>
          </w:tcPr>
          <w:p>
            <w:pPr>
              <w:spacing w:line="276" w:lineRule="auto"/>
            </w:pPr>
            <w:r>
              <w:rPr>
                <w:b/>
              </w:rPr>
              <w:t>Recommended method</w:t>
            </w:r>
          </w:p>
        </w:tc>
        <w:tc>
          <w:tcPr>
            <w:tcW w:type="dxa" w:w="2160"/>
          </w:tcPr>
          <w:p>
            <w:pPr>
              <w:spacing w:line="276" w:lineRule="auto"/>
            </w:pPr>
            <w:r>
              <w:rPr>
                <w:b/>
              </w:rPr>
              <w:t>Rationale</w:t>
            </w:r>
          </w:p>
        </w:tc>
        <w:tc>
          <w:tcPr>
            <w:tcW w:type="dxa" w:w="2160"/>
          </w:tcPr>
          <w:p>
            <w:pPr>
              <w:spacing w:line="276" w:lineRule="auto"/>
            </w:pPr>
            <w:r>
              <w:rPr>
                <w:b/>
              </w:rPr>
              <w:t>Caveat</w:t>
            </w:r>
          </w:p>
        </w:tc>
      </w:tr>
      <w:tr>
        <w:tc>
          <w:tcPr>
            <w:tcW w:type="dxa" w:w="2160"/>
          </w:tcPr>
          <w:p>
            <w:pPr>
              <w:spacing w:line="276" w:lineRule="auto"/>
            </w:pPr>
            <w:r>
              <w:t>Strong covariate trace of a hidden modifier and moderate-to-large sample (n ~ 2000)</w:t>
            </w:r>
          </w:p>
        </w:tc>
        <w:tc>
          <w:tcPr>
            <w:tcW w:type="dxa" w:w="2160"/>
          </w:tcPr>
          <w:p>
            <w:pPr>
              <w:spacing w:line="276" w:lineRule="auto"/>
            </w:pPr>
            <w:r>
              <w:t>Residual-based IONE (1B)</w:t>
            </w:r>
          </w:p>
        </w:tc>
        <w:tc>
          <w:tcPr>
            <w:tcW w:type="dxa" w:w="2160"/>
          </w:tcPr>
          <w:p>
            <w:pPr>
              <w:spacing w:line="276" w:lineRule="auto"/>
            </w:pPr>
            <w:r>
              <w:t xml:space="preserve">Highest random-effects ATE bias reduction and </w:t>
            </w:r>
            <m:oMath>
              <m:sSub>
                <m:e>
                  <m:r>
                    <m:t xml:space="preserve">W</m:t>
                  </m:r>
                </m:e>
                <m:sub>
                  <m:r>
                    <m:t xml:space="preserve">true</m:t>
                  </m:r>
                </m:sub>
              </m:sSub>
            </m:oMath>
            <w:r>
              <w:t xml:space="preserve"> in the primary scenario</w:t>
            </w:r>
          </w:p>
        </w:tc>
        <w:tc>
          <w:tcPr>
            <w:tcW w:type="dxa" w:w="2160"/>
          </w:tcPr>
          <w:p>
            <w:pPr>
              <w:spacing w:line="276" w:lineRule="auto"/>
            </w:pPr>
            <w:r>
              <w:t>Hits a structural bias floor that does not vanish with sample size; requires a correctly specified outcome model with treatment-covariate interactions</w:t>
            </w:r>
          </w:p>
        </w:tc>
      </w:tr>
      <w:tr>
        <w:tc>
          <w:tcPr>
            <w:tcW w:type="dxa" w:w="2160"/>
          </w:tcPr>
          <w:p>
            <w:pPr>
              <w:spacing w:line="276" w:lineRule="auto"/>
            </w:pPr>
            <w:r>
              <w:t>Small sample (n ~ 500) with moderate modification</w:t>
            </w:r>
          </w:p>
        </w:tc>
        <w:tc>
          <w:tcPr>
            <w:tcW w:type="dxa" w:w="2160"/>
          </w:tcPr>
          <w:p>
            <w:pPr>
              <w:spacing w:line="276" w:lineRule="auto"/>
            </w:pPr>
            <w:r>
              <w:t>Residual-based IONE (1B)</w:t>
            </w:r>
          </w:p>
        </w:tc>
        <w:tc>
          <w:tcPr>
            <w:tcW w:type="dxa" w:w="2160"/>
          </w:tcPr>
          <w:p>
            <w:pPr>
              <w:spacing w:line="276" w:lineRule="auto"/>
            </w:pPr>
            <w:r>
              <w:t>Achieved the largest relative bias reduction and the smallest absolute random-effects bias at n = 500</w:t>
            </w:r>
          </w:p>
        </w:tc>
        <w:tc>
          <w:tcPr>
            <w:tcW w:type="dxa" w:w="2160"/>
          </w:tcPr>
          <w:p>
            <w:pPr>
              <w:spacing w:line="276" w:lineRule="auto"/>
            </w:pPr>
            <w:r>
              <w:t>Relative reduction partly reflects large crude bias; residual models can overfit when events are sparse</w:t>
            </w:r>
          </w:p>
        </w:tc>
      </w:tr>
      <w:tr>
        <w:tc>
          <w:tcPr>
            <w:tcW w:type="dxa" w:w="2160"/>
          </w:tcPr>
          <w:p>
            <w:pPr>
              <w:spacing w:line="276" w:lineRule="auto"/>
            </w:pPr>
            <w:r>
              <w:t>Large sample (n ~ 10 000) and strong measured confounding</w:t>
            </w:r>
          </w:p>
        </w:tc>
        <w:tc>
          <w:tcPr>
            <w:tcW w:type="dxa" w:w="2160"/>
          </w:tcPr>
          <w:p>
            <w:pPr>
              <w:spacing w:line="276" w:lineRule="auto"/>
            </w:pPr>
            <w:r>
              <w:t>Prognostic-score or predicted-probability stratification (1A)</w:t>
            </w:r>
          </w:p>
        </w:tc>
        <w:tc>
          <w:tcPr>
            <w:tcW w:type="dxa" w:w="2160"/>
          </w:tcPr>
          <w:p>
            <w:pPr>
              <w:spacing w:line="276" w:lineRule="auto"/>
            </w:pPr>
            <w:r>
              <w:t>Largest relative reductions and smallest absolute RE biases at n = 10 000 once finite-sample error was small</w:t>
            </w:r>
          </w:p>
        </w:tc>
        <w:tc>
          <w:tcPr>
            <w:tcW w:type="dxa" w:w="2160"/>
          </w:tcPr>
          <w:p>
            <w:pPr>
              <w:spacing w:line="276" w:lineRule="auto"/>
            </w:pPr>
            <w:r>
              <w:t>The residual method remained at its absolute bias floor, so relative reduction alone is not enough to rank methods; choose the metric that matches the clinical question</w:t>
            </w:r>
          </w:p>
        </w:tc>
      </w:tr>
      <w:tr>
        <w:tc>
          <w:tcPr>
            <w:tcW w:type="dxa" w:w="2160"/>
          </w:tcPr>
          <w:p>
            <w:pPr>
              <w:spacing w:line="276" w:lineRule="auto"/>
            </w:pPr>
            <w:r>
              <w:t>Outcome model unavailable, misspecified or rare events</w:t>
            </w:r>
          </w:p>
        </w:tc>
        <w:tc>
          <w:tcPr>
            <w:tcW w:type="dxa" w:w="2160"/>
          </w:tcPr>
          <w:p>
            <w:pPr>
              <w:spacing w:line="276" w:lineRule="auto"/>
            </w:pPr>
            <w:r>
              <w:t>Outcome-free methods (PCA or k-means) or prognostic-score stratification</w:t>
            </w:r>
          </w:p>
        </w:tc>
        <w:tc>
          <w:tcPr>
            <w:tcW w:type="dxa" w:w="2160"/>
          </w:tcPr>
          <w:p>
            <w:pPr>
              <w:spacing w:line="276" w:lineRule="auto"/>
            </w:pPr>
            <w:r>
              <w:t>Do not use the outcome for stratification, so avoid degenerate logistic fits and overfitting</w:t>
            </w:r>
          </w:p>
        </w:tc>
        <w:tc>
          <w:tcPr>
            <w:tcW w:type="dxa" w:w="2160"/>
          </w:tcPr>
          <w:p>
            <w:pPr>
              <w:spacing w:line="276" w:lineRule="auto"/>
            </w:pPr>
            <w:r>
              <w:t>ATE bias reduction is generally smaller; C1 and W discrimination remains near chance</w:t>
            </w:r>
          </w:p>
        </w:tc>
      </w:tr>
      <w:tr>
        <w:tc>
          <w:tcPr>
            <w:tcW w:type="dxa" w:w="2160"/>
          </w:tcPr>
          <w:p>
            <w:pPr>
              <w:spacing w:line="276" w:lineRule="auto"/>
            </w:pPr>
            <w:r>
              <w:t>Need a descriptive flag for internal incoherence in real IPD</w:t>
            </w:r>
          </w:p>
        </w:tc>
        <w:tc>
          <w:tcPr>
            <w:tcW w:type="dxa" w:w="2160"/>
          </w:tcPr>
          <w:p>
            <w:pPr>
              <w:spacing w:line="276" w:lineRule="auto"/>
            </w:pPr>
            <w:r>
              <w:t xml:space="preserve">Report </w:t>
            </w:r>
            <m:oMath>
              <m:sSub>
                <m:e>
                  <m:r>
                    <m:t xml:space="preserve">C1</m:t>
                  </m:r>
                </m:e>
                <m:sub>
                  <m:r>
                    <m:t xml:space="preserve">excess</m:t>
                  </m:r>
                </m:sub>
              </m:sSub>
            </m:oMath>
            <w:r>
              <w:t xml:space="preserve"> and </w:t>
            </w:r>
            <m:oMath>
              <m:sSub>
                <m:e>
                  <m:r>
                    <m:t xml:space="preserve">W</m:t>
                  </m:r>
                </m:e>
                <m:sub>
                  <m:r>
                    <m:t xml:space="preserve">est excess</m:t>
                  </m:r>
                </m:sub>
              </m:sSub>
            </m:oMath>
            <w:r>
              <w:t xml:space="preserve">, calibrated against a permutation or residual null</w:t>
            </w:r>
          </w:p>
        </w:tc>
        <w:tc>
          <w:tcPr>
            <w:tcW w:type="dxa" w:w="2160"/>
          </w:tcPr>
          <w:p>
            <w:pPr>
              <w:spacing w:line="276" w:lineRule="auto"/>
            </w:pPr>
            <w:r>
              <w:t>Empirically centred on a no-modification null; use one of the three recipes described in the Methods</w:t>
            </w:r>
          </w:p>
        </w:tc>
        <w:tc>
          <w:tcPr>
            <w:tcW w:type="dxa" w:w="2160"/>
          </w:tcPr>
          <w:p>
            <w:pPr>
              <w:spacing w:line="276" w:lineRule="auto"/>
            </w:pPr>
            <w:r>
              <w:t>Do not use as a standalone inferential test; thresholds are method-specific and DGM-conditional; cross-check at least two nulls</w:t>
            </w:r>
          </w:p>
        </w:tc>
      </w:tr>
    </w:tbl>
    <w:p>
      <w:pPr>
        <w:spacing w:before="240" w:line="480" w:lineRule="auto"/>
      </w:pPr>
      <w:r/>
      <w:r>
        <w:rPr>
          <w:i/>
        </w:rPr>
        <w:t>Table 5. Recommendations for choosing a stratification method in an IPD meta-analysis sensitivity analysis.</w:t>
      </w:r>
      <w:r/>
    </w:p>
    <w:p>
      <w:pPr>
        <w:pStyle w:val="Heading2"/>
        <w:spacing w:line="480" w:lineRule="auto"/>
      </w:pPr>
      <w:r>
        <w:t xml:space="preserve">Empirical null distribution and </w:t>
      </w:r>
      <m:oMath>
        <m:sSub>
          <m:e>
            <m:r>
              <m:t xml:space="preserve">W</m:t>
            </m:r>
          </m:e>
          <m:sub>
            <m:r>
              <m:t xml:space="preserve">est</m:t>
            </m:r>
          </m:sub>
        </m:sSub>
      </m:oMath>
      <w:r>
        <w:t xml:space="preserve"> misspecification</w:t>
      </w:r>
    </w:p>
    <w:p>
      <w:pPr>
        <w:spacing w:line="480" w:lineRule="auto"/>
      </w:pPr>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spacing w:line="480" w:lineRule="auto"/>
      </w:pPr>
      <w:r>
        <w:t>4. Discussion</w:t>
      </w:r>
    </w:p>
    <w:p>
      <w:pPr>
        <w:pStyle w:val="Heading2"/>
        <w:spacing w:line="480" w:lineRule="auto"/>
      </w:pPr>
      <w:r>
        <w:t>Principal findings</w:t>
      </w:r>
    </w:p>
    <w:p>
      <w:pPr>
        <w:spacing w:line="480" w:lineRule="auto"/>
      </w:pPr>
      <w:r>
        <w:t xml:space="preserve">We treat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operational k-means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reduce some of the marginal bias that is predictable from the measured covariates. For the residual method, DerSimonian-Laird pooling improved over fixed-effect pooling, suggesting that stratum-specific effects should be allowed to vary when the selected partition shows evidence of heterogeneity.</w:t>
      </w:r>
    </w:p>
    <w:p>
      <w:pPr>
        <w:pStyle w:val="Heading2"/>
        <w:spacing w:line="480" w:lineRule="auto"/>
      </w:pPr>
      <w:r>
        <w:t>Detection versus subgroup recovery</w:t>
      </w:r>
    </w:p>
    <w:p>
      <w:pPr>
        <w:spacing w:line="480" w:lineRule="auto"/>
      </w:pPr>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spacing w:line="480" w:lineRule="auto"/>
      </w:pPr>
      <w:r>
        <w:t>Comparison with study-level and covariate-adjustment approaches</w:t>
      </w:r>
    </w:p>
    <w:p>
      <w:pPr>
        <w:spacing w:line="480" w:lineRule="auto"/>
      </w:pPr>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spacing w:line="480" w:lineRule="auto"/>
      </w:pPr>
      <w:r>
        <w:t>W denominator and misspecification</w:t>
      </w:r>
    </w:p>
    <w:p>
      <w:pPr>
        <w:spacing w:line="480" w:lineRule="auto"/>
      </w:pPr>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w:t>
      </w:r>
      <m:oMath>
        <m:sSub>
          <m:e>
            <m:r>
              <m:t xml:space="preserve">C1</m:t>
            </m:r>
          </m:e>
          <m:sub>
            <m:r>
              <m:t xml:space="preserve">excess</m:t>
            </m:r>
          </m:sub>
        </m:sSub>
      </m:oMath>
      <w:r>
        <w:t xml:space="preserve">, </w:t>
      </w:r>
      <m:oMath>
        <m:sSub>
          <m:e>
            <m:r>
              <m:t xml:space="preserve">W</m:t>
            </m:r>
          </m:e>
          <m:sub>
            <m:r>
              <m:t xml:space="preserve">true excess</m:t>
            </m:r>
          </m:sub>
        </m:sSub>
      </m:oMath>
      <w:r>
        <w:t xml:space="preserve">, </w:t>
      </w:r>
      <m:oMath>
        <m:sSub>
          <m:e>
            <m:r>
              <m:t xml:space="preserve">W</m:t>
            </m:r>
          </m:e>
          <m:sub>
            <m:r>
              <m:t xml:space="preserve">est excess</m:t>
            </m:r>
          </m:sub>
        </m:sSub>
      </m:oMath>
      <w:r>
        <w:t xml:space="preserve">).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spacing w:line="480" w:lineRule="auto"/>
      </w:pPr>
      <w:r>
        <w:t>Large-sample behaviour</w:t>
      </w:r>
    </w:p>
    <w:p>
      <w:pPr>
        <w:spacing w:line="480" w:lineRule="auto"/>
      </w:pPr>
      <w:r>
        <w:t>At n = 10 000 the residual method still showed a non-negligible random-effects ATE bias (0.00864; relative reduction 0.348), similar to the absolute floor observed at n=500 (0.00824) and n=2000 (0.00852). This floor is consistent with the ARI ceiling: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spacing w:line="480" w:lineRule="auto"/>
      </w:pPr>
      <w:r>
        <w:t>Relevance to CSDA readers</w:t>
      </w:r>
    </w:p>
    <w:p>
      <w:pPr>
        <w:spacing w:line="480" w:lineRule="auto"/>
      </w:pPr>
      <w:r>
        <w:t xml:space="preserve">IONE sits between computational stratification diagnostics and model-based effect modification for individual participant data meta-analysis. C1 applies the </w:t>
      </w:r>
      <m:oMath>
        <m:sSup>
          <m:e>
            <m:r>
              <m:t xml:space="preserve">I</m:t>
            </m:r>
          </m:e>
          <m:sup>
            <m:r>
              <m:t xml:space="preserve">2</m:t>
            </m:r>
          </m:sup>
        </m:sSup>
      </m:oMath>
      <w:r>
        <w:t xml:space="preserve"> statistic to discovered strata, and W measures how much CATE variance a partition explains. Both are descriptive sensitivity indices, not inferential tests. The empirical null distribution (Supplementary Table S5) calibrates the diagnostics under no true effect modification, and the misspecification sensitivity (Supplementary Table S6) checks whether </w:t>
      </w:r>
      <m:oMath>
        <m:sSub>
          <m:e>
            <m:r>
              <m:t xml:space="preserve">W</m:t>
            </m:r>
          </m:e>
          <m:sub>
            <m:r>
              <m:t xml:space="preserve">est</m:t>
            </m:r>
          </m:sub>
        </m:sSub>
      </m:oMath>
      <w:r>
        <w:t xml:space="preserve"> is robust to the outcome-model specification. The simulation code, analysis scripts and generated tables are publicly available so readers can reproduce every numerical result.</w:t>
      </w:r>
    </w:p>
    <w:p>
      <w:pPr>
        <w:pStyle w:val="Heading2"/>
        <w:spacing w:line="480" w:lineRule="auto"/>
      </w:pPr>
      <w:r>
        <w:t>Strengths and limitations</w:t>
      </w:r>
    </w:p>
    <w:p>
      <w:pPr>
        <w:spacing w:line="480" w:lineRule="auto"/>
      </w:pPr>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line="480" w:lineRule="auto"/>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spacing w:line="480" w:lineRule="auto"/>
      </w:pPr>
      <w:r>
        <w:t>5. Conclusions</w:t>
      </w:r>
    </w:p>
    <w:p>
      <w:pPr>
        <w:spacing w:line="480" w:lineRule="auto"/>
      </w:pPr>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practical recommendations are: (1) use C1 and W only as descriptive flags, not as inferential tests for hidden effect modification, and (2) pre-specify potential effect modifiers and reserve data-driven stratification for exploratory sensitivity analyses, not for decision-making.</w:t>
      </w:r>
    </w:p>
    <w:p>
      <w:pPr>
        <w:spacing w:line="480" w:lineRule="auto"/>
      </w:pPr>
      <w:r>
        <w:br w:type="page"/>
      </w:r>
    </w:p>
    <w:p>
      <w:pPr>
        <w:pStyle w:val="Heading1"/>
        <w:spacing w:line="480" w:lineRule="auto"/>
      </w:pPr>
      <w:r>
        <w:t>Declarations</w:t>
      </w:r>
    </w:p>
    <w:p>
      <w:pPr>
        <w:pStyle w:val="Heading2"/>
        <w:spacing w:line="480" w:lineRule="auto"/>
      </w:pPr>
      <w:r>
        <w:t>Ethics approval and consent to participate</w:t>
      </w:r>
    </w:p>
    <w:p>
      <w:pPr>
        <w:spacing w:line="480" w:lineRule="auto"/>
      </w:pPr>
      <w:r>
        <w:t>Not applicable. This study used simulated data and publicly available aggregate statistics only.</w:t>
      </w:r>
    </w:p>
    <w:p>
      <w:pPr>
        <w:pStyle w:val="Heading2"/>
        <w:spacing w:line="480" w:lineRule="auto"/>
      </w:pPr>
      <w:r>
        <w:t>Consent for publication</w:t>
      </w:r>
    </w:p>
    <w:p>
      <w:pPr>
        <w:spacing w:line="480" w:lineRule="auto"/>
      </w:pPr>
      <w:r>
        <w:t>Not applicable.</w:t>
      </w:r>
    </w:p>
    <w:p>
      <w:pPr>
        <w:pStyle w:val="Heading2"/>
        <w:spacing w:line="480" w:lineRule="auto"/>
      </w:pPr>
      <w:r>
        <w:t>Availability of data and materials</w:t>
      </w:r>
    </w:p>
    <w:p>
      <w:pPr>
        <w:spacing w:line="480" w:lineRule="auto"/>
      </w:pPr>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3.10.12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spacing w:line="480" w:lineRule="auto"/>
      </w:pPr>
      <w:r>
        <w:t>Competing interests</w:t>
      </w:r>
    </w:p>
    <w:p>
      <w:pPr>
        <w:spacing w:line="480" w:lineRule="auto"/>
      </w:pPr>
      <w:r>
        <w:t>The authors declare that they have no competing interests.</w:t>
      </w:r>
    </w:p>
    <w:p>
      <w:pPr>
        <w:pStyle w:val="Heading2"/>
        <w:spacing w:line="480" w:lineRule="auto"/>
      </w:pPr>
      <w:r>
        <w:t>Funding</w:t>
      </w:r>
    </w:p>
    <w:p>
      <w:pPr>
        <w:spacing w:line="480" w:lineRule="auto"/>
      </w:pPr>
      <w:r>
        <w:t>No external funding supported this work.</w:t>
      </w:r>
    </w:p>
    <w:p>
      <w:pPr>
        <w:pStyle w:val="Heading2"/>
        <w:spacing w:line="480" w:lineRule="auto"/>
      </w:pPr>
      <w:r>
        <w:t>Authors' contributions (CRediT taxonomy)</w:t>
      </w:r>
    </w:p>
    <w:p>
      <w:pPr>
        <w:spacing w:line="480" w:lineRule="auto"/>
      </w:pPr>
      <w:r>
        <w:t>Onishi Tatsuki: Conceptualisation, methodology, software, formal analysis, writing – original draft, writing – review and editing, visualisation.</w:t>
      </w:r>
    </w:p>
    <w:p>
      <w:pPr>
        <w:pStyle w:val="Heading2"/>
        <w:spacing w:line="480" w:lineRule="auto"/>
      </w:pPr>
      <w:r>
        <w:t>Acknowledgements</w:t>
      </w:r>
    </w:p>
    <w:p>
      <w:pPr>
        <w:spacing w:line="480" w:lineRule="auto"/>
      </w:pPr>
      <w:r>
        <w:t>Not applicable.</w:t>
      </w:r>
    </w:p>
    <w:p>
      <w:pPr>
        <w:pStyle w:val="Heading2"/>
        <w:spacing w:line="480" w:lineRule="auto"/>
      </w:pPr>
      <w:r>
        <w:t>Supplementary materials</w:t>
      </w:r>
    </w:p>
    <w:p>
      <w:pPr>
        <w:spacing w:line="480" w:lineRule="auto"/>
      </w:pPr>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csda_supplementary_v1.docx</w:t>
      </w:r>
      <w:r>
        <w:t>.</w:t>
      </w:r>
    </w:p>
    <w:p>
      <w:pPr>
        <w:pStyle w:val="Heading2"/>
        <w:spacing w:line="480" w:lineRule="auto"/>
      </w:pPr>
      <w:r>
        <w:t>Artificial intelligence</w:t>
      </w:r>
    </w:p>
    <w:p>
      <w:pPr>
        <w:spacing w:line="480" w:lineRule="auto"/>
      </w:pPr>
      <w:r>
        <w:t>Manuscript text, Python code, and some analyses were drafted or revised using large language models (OpenAI GPT-4 and GPT-4o, accessed August 2025 through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pPr>
        <w:spacing w:line="480" w:lineRule="auto"/>
      </w:pPr>
      <w:r>
        <w:br w:type="page"/>
      </w:r>
    </w:p>
    <w:p>
      <w:pPr>
        <w:pStyle w:val="Heading1"/>
        <w:spacing w:line="480" w:lineRule="auto"/>
      </w:pPr>
      <w:r>
        <w:t>References</w:t>
      </w:r>
    </w:p>
    <w:p>
      <w:pPr>
        <w:spacing w:line="480" w:lineRule="auto"/>
      </w:pPr>
      <w:r>
        <w:t>1. Borenstein M, Hedges LV, Higgins JPT, Rothstein HR. Introduction to Meta-Analysis. Chichester: John Wiley &amp; Sons; 2009. doi: 10.1002/9780470743386</w:t>
      </w:r>
    </w:p>
    <w:p>
      <w:pPr>
        <w:spacing w:line="480" w:lineRule="auto"/>
      </w:pPr>
      <w:r>
        <w:t>2. Riley RD, Lambert PC, Abo-Zaid G. Meta-analysis of individual participant data: rationale, conduct, and reporting. BMJ. 2010;340:c221. doi: 10.1136/bmj.c221</w:t>
      </w:r>
    </w:p>
    <w:p>
      <w:pPr>
        <w:spacing w:line="480" w:lineRule="auto"/>
      </w:pPr>
      <w:r>
        <w:t>3. Simmonds MC, Higgins JPT, Stewart LA, Tierney JF, Clarke MJ, Thompson SG. Meta-analysis of individual patient data from randomized trials: a review of methods used in practice. Clin Trials. 2005;2(3):209–217. doi: 10.1191/1740774505cn087oa</w:t>
      </w:r>
    </w:p>
    <w:p>
      <w:pPr>
        <w:spacing w:line="480" w:lineRule="auto"/>
      </w:pPr>
      <w:r>
        <w:t>4. DerSimonian R, Laird N. Meta-analysis in clinical trials. Control Clin Trials. 1986;7(3):177–188. doi: 10.1016/0197-2456(86)90046-2</w:t>
      </w:r>
    </w:p>
    <w:p>
      <w:pPr>
        <w:spacing w:line="480" w:lineRule="auto"/>
      </w:pPr>
      <w:r>
        <w:t>5. Higgins JPT, Thompson SG. Quantifying heterogeneity in a meta-analysis. Stat Med. 2002;21(11):1539–1558. doi: 10.1002/sim.1186</w:t>
      </w:r>
    </w:p>
    <w:p>
      <w:pPr>
        <w:spacing w:line="480" w:lineRule="auto"/>
      </w:pPr>
      <w:r>
        <w:t>6. Riley RD, Higgins JPT, Deeks JJ. Interpretation of random effects meta-analyses. BMJ. 2011;342:d549. doi: 10.1136/bmj.d549</w:t>
      </w:r>
    </w:p>
    <w:p>
      <w:pPr>
        <w:spacing w:line="480" w:lineRule="auto"/>
      </w:pPr>
      <w:r>
        <w:t>7. Pearl J. Causality. 2nd ed. Cambridge: Cambridge University Press; 2009. doi: 10.1017/cbo9780511803161</w:t>
      </w:r>
    </w:p>
    <w:p>
      <w:pPr>
        <w:spacing w:line="480" w:lineRule="auto"/>
      </w:pPr>
      <w:r>
        <w:t>8. Greenland S, Robins JM, Pearl J. Confounding and collapsibility in causal inference. Stat Sci. 1999;14(1):29–46. doi: 10.1214/ss/1009211805</w:t>
      </w:r>
    </w:p>
    <w:p>
      <w:pPr>
        <w:spacing w:line="480" w:lineRule="auto"/>
      </w:pPr>
      <w:r>
        <w:t>9. Simpson EH. The interpretation of interaction in contingency tables. J R Stat Soc Ser B. 1951;13(2):238–241. doi: 10.1111/j.2517-6161.1951.tb00088.x</w:t>
      </w:r>
    </w:p>
    <w:p>
      <w:pPr>
        <w:spacing w:line="480" w:lineRule="auto"/>
      </w:pPr>
      <w:r>
        <w:t>10. Rojanaworarit C. Misleading epidemiological and statistical evidence in the presence of Simpson's paradox: an illustrative study using simulated scenarios. J Med Life. 2020;13(1):37–44. doi: 10.25122/jml-2019-0120</w:t>
      </w:r>
    </w:p>
    <w:p>
      <w:pPr>
        <w:spacing w:line="480" w:lineRule="auto"/>
      </w:pPr>
      <w:r>
        <w:t>11. Charig CR, Webb DR, Payne SR, Wickham JE. Comparison of treatment of renal calculi by open surgery, percutaneous nephrolithotomy, and extracorporeal shockwave lithotripsy. BMJ. 1986;292(6524):879–882. doi: 10.1136/bmj.292.6524.879</w:t>
      </w:r>
    </w:p>
    <w:p>
      <w:pPr>
        <w:spacing w:line="480" w:lineRule="auto"/>
      </w:pPr>
      <w:r>
        <w:t>12. Bickel PJ, Hammel EA, O'Connell JW. Sex bias in graduate admissions: data from Berkeley. Science. 1975;187(4175):398–404. doi: 10.1126/science.187.4175.398</w:t>
      </w:r>
    </w:p>
    <w:p>
      <w:pPr>
        <w:spacing w:line="480" w:lineRule="auto"/>
      </w:pPr>
      <w:r>
        <w:t>13. von Kügelgen J, Gresele L, Schölkopf B. Simpson's paradox in Covid-19 case fatality rates: a mediation analysis of age-related causal effects. IEEE Trans Artif Intell. 2021;2(1):18–27. doi: 10.1109/TAI.2021.3073088</w:t>
      </w:r>
    </w:p>
    <w:p>
      <w:pPr>
        <w:spacing w:line="480" w:lineRule="auto"/>
      </w:pPr>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 doi: 10.1016/S0140-6736(21)00947-8</w:t>
      </w:r>
    </w:p>
    <w:p>
      <w:pPr>
        <w:spacing w:line="480" w:lineRule="auto"/>
      </w:pPr>
      <w:r>
        <w:t>15. Appleton DR, French NR, Vanderpump MP. Ignoring a covariate: an example of Simpson's paradox. Am Stat. 1996;50(4):340–341. doi: 10.1080/00031305.1996.10473563</w:t>
      </w:r>
    </w:p>
    <w:p>
      <w:pPr>
        <w:spacing w:line="480" w:lineRule="auto"/>
      </w:pPr>
      <w:r>
        <w:t>16. Morris TP, White IR, Crowther MJ. Using simulation studies to evaluate statistical methods. Stat Med. 2019;38(11):2074–2102. doi: 10.1002/sim.8086</w:t>
      </w:r>
    </w:p>
    <w:p>
      <w:pPr>
        <w:spacing w:line="480" w:lineRule="auto"/>
      </w:pPr>
      <w:r>
        <w:t>17. Rosenbaum PR, Rubin DB. The central role of the propensity score in observational studies for causal effects. Biometrika. 1983;70(1):41–55. doi: 10.1093/biomet/70.1.41</w:t>
      </w:r>
    </w:p>
    <w:p>
      <w:pPr>
        <w:spacing w:line="480" w:lineRule="auto"/>
      </w:pPr>
      <w:r>
        <w:t>18. McLachlan GJ, Peel D. Finite Mixture Models. New York: Wiley; 2000. doi: 10.1002/0471721182</w:t>
      </w:r>
    </w:p>
    <w:p>
      <w:pPr>
        <w:spacing w:line="480" w:lineRule="auto"/>
      </w:pPr>
      <w:r>
        <w:t>19. Hansen BB. The prognostic analogue of the propensity score. Biometrika. 2008;95(2):481–488. doi: 10.1093/biomet/asn004</w:t>
      </w:r>
    </w:p>
    <w:p>
      <w:pPr>
        <w:spacing w:line="480" w:lineRule="auto"/>
      </w:pPr>
      <w:r>
        <w:t>20. Hubert L, Arabie P. Comparing partitions. J Classif. 1985;2(1):193–218. doi: 10.1007/bf01908075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