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20 August 2026</w:t>
      </w:r>
    </w:p>
    <w:p>
      <w:r>
        <w:t>The Editors</w:t>
      </w:r>
    </w:p>
    <w:p>
      <w:r/>
      <w:r>
        <w:rPr>
          <w:i/>
        </w:rPr>
        <w:t>Computational Statistics &amp; Data Analysis</w:t>
      </w:r>
      <w:r/>
    </w:p>
    <w:p>
      <w:r>
        <w:t>Elsevier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"Coherence diagnostics for hidden effect modification in individual participant data meta-analysis: IONE (Incoherence-Oriented Neutralisation and Extraction) and a simulation benchmark of stratification approaches,"</w:t>
      </w:r>
      <w:r>
        <w:t xml:space="preserve"> for consideration by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proposes and benchmarks computational diagnostics for a core problem in statistical data analysis: hidden effect modification in individual participant data (IPD) meta-analysis. The proposed C1 and W statistics quantify between- and within-stratum treatment-effect heterogeneity, and the simulation systematically compares stratification approaches, including propensity-score stratification, prognostic-score stratification, Gaussian mixture models, outcome-residual stratification and clustering. Because the sampling distributions of discovered-stratum estimators depend on the unknown joint distribution of unmeasured modifiers and observed covariates, closed-form theoretical comparisons of the stratification methods are not available; the simulation benchmark is therefore necessary to quantify relative performance. All numerical results are produced by a reproducible computational pipeline and are publicly available. We therefore believe the work will be of interest to the readership of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pPr>
        <w:spacing w:before="240"/>
      </w:pPr>
      <w:r/>
      <w:r>
        <w:rPr>
          <w:b/>
        </w:rPr>
        <w:t>Figures.</w:t>
      </w:r>
      <w:r>
        <w:t xml:space="preserve"> Figures 1–7 were prepared in colour and are intended for colour reproduction in the online and print editions of the journal.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