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IONE: Coherence diagnostics for hidden effect modification in individual participant data meta-analysis</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7</w:t>
      </w:r>
    </w:p>
    <w:p>
      <w:r>
        <w:t>Number of tables: 5</w:t>
      </w:r>
    </w:p>
    <w:p>
      <w:r>
        <w:t>Word count: Abstract 226; Main text 4415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