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the Incoherence-Oriented Neutralisation and Extraction (IONE) framework and a simulation benchmark</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the Incoherence-Oriented Neutralisation and Extraction (IONE) framework, two coherence diagnostics (C1 and W), and a reproducible simulation benchmark of seven stratification approaches.</w:t>
      </w:r>
    </w:p>
    <w:p>
      <w:pPr>
        <w:spacing w:line="480" w:lineRule="auto"/>
      </w:pPr>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average treatment effect (ATE) bias reduction, calibrating the diagnostics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pPr>
        <w:spacing w:line="480" w:lineRule="auto"/>
      </w:pPr>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pPr>
        <w:spacing w:line="480" w:lineRule="auto"/>
      </w:pPr>
      <w:r/>
      <w:r>
        <w:rPr>
          <w:b/>
        </w:rPr>
        <w:t>Keywords:</w:t>
      </w:r>
      <w:r>
        <w:t xml:space="preserve"> meta-analysis; heterogeneity; effect modification; stratification; simulation; reproducibility; causal inference</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pPr>
        <w:spacing w:line="480" w:lineRule="auto"/>
      </w:pPr>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pStyle w:val="Heading3"/>
        <w:spacing w:line="480" w:lineRule="auto"/>
      </w:pPr>
      <w:r>
        <w:t>Formal definitions</w:t>
      </w:r>
    </w:p>
    <w:p>
      <w:pPr>
        <w:spacing w:line="480" w:lineRule="auto"/>
      </w:pPr>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w:pPr>
        <w:spacing w:line="480" w:lineRule="auto"/>
      </w:pPr>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pPr>
        <w:spacing w:line="480" w:lineRule="auto"/>
      </w:pPr>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w:pPr>
        <w:spacing w:line="480" w:lineRule="auto"/>
      </w:pPr>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pPr>
        <w:spacing w:line="480" w:lineRule="auto"/>
      </w:pPr>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pPr>
        <w:spacing w:line="480" w:lineRule="auto"/>
      </w:pPr>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eta-squared, the ratio of between-stratum CATE variance to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Practical recipes for real individual participant data</w:t>
      </w:r>
    </w:p>
    <w:p>
      <w:pPr>
        <w:spacing w:line="480" w:lineRule="auto"/>
      </w:pPr>
      <w:r>
        <w:t xml:space="preserve">In real IPD studies the empirical null must be reconstructed because the true no-modification DGM is unknown. We recommend three operational recipes. (1) </w:t>
      </w:r>
      <w:r>
        <w:rPr>
          <w:i/>
        </w:rPr>
        <w:t>Permutation null</w:t>
      </w:r>
      <w:r>
        <w:t xml:space="preserve">: randomly permute the treatment indicator within studies and re-compute C1 and </w:t>
      </w:r>
      <m:oMath>
        <m:sSub>
          <m:e>
            <m:r>
              <m:t xml:space="preserve">W</m:t>
            </m:r>
          </m:e>
          <m:sub>
            <m:r>
              <m:t xml:space="preserve">est</m:t>
            </m:r>
          </m:sub>
        </m:sSub>
      </m:oMath>
      <w:r>
        <w:t xml:space="preserve"> for the chosen stratification. This destroys any true treatment-by-covariate interaction while preserving the covariate distribution and study structure; repeating this B = 200–1000 times yields method-specific null percentiles. (2) </w:t>
      </w:r>
      <w:r>
        <w:rPr>
          <w:i/>
        </w:rPr>
        <w:t>Parametric residual null</w:t>
      </w:r>
      <w:r>
        <w:t xml:space="preserve">: fit the no-modification outcome model Y ~ X + A + study indicators to the data, simulate outcomes from the fitted probabilities, and compute the diagnostics on the simulated data. This null is fast and convenient but relies on the correctness of the main-effects model. (3) </w:t>
      </w:r>
      <w:r>
        <w:rPr>
          <w:i/>
        </w:rPr>
        <w:t>Bootstrap null</w:t>
      </w:r>
      <w:r>
        <w:t xml:space="preserve">: resample participants (or study clusters, when studies are few) with replacement, refit the stratification model, and compute C1 and </w:t>
      </w:r>
      <m:oMath>
        <m:sSub>
          <m:e>
            <m:r>
              <m:t xml:space="preserve">W</m:t>
            </m:r>
          </m:e>
          <m:sub>
            <m:r>
              <m:t xml:space="preserve">est</m:t>
            </m:r>
          </m:sub>
        </m:sSub>
      </m:oMath>
      <w:r>
        <w:t xml:space="preserve"> on each bootstrap sample to obtain a sampling null. The excess diagnostics </w:t>
      </w:r>
      <m:oMath>
        <m:sSub>
          <m:e>
            <m:r>
              <m:t xml:space="preserve">C1</m:t>
            </m:r>
          </m:e>
          <m:sub>
            <m:r>
              <m:t xml:space="preserve">excess</m:t>
            </m:r>
          </m:sub>
        </m:sSub>
      </m:oMath>
      <w:r>
        <w:t xml:space="preserve"> and </w:t>
      </w:r>
      <m:oMath>
        <m:sSub>
          <m:e>
            <m:r>
              <m:t xml:space="preserve">W</m:t>
            </m:r>
          </m:e>
          <m:sub>
            <m:r>
              <m:t xml:space="preserve">est excess</m:t>
            </m:r>
          </m:sub>
        </m:sSub>
      </m:oMath>
      <w:r>
        <w:t xml:space="preserve"> are reported as the observed value minus the mean of the chosen null. We report percentiles in Supplementary Table S5 and recommend cross-checking at least two of the three nulls before interpreting a flag.</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Computational implementation</w:t>
      </w:r>
    </w:p>
    <w:p>
      <w:pPr>
        <w:spacing w:line="480" w:lineRule="auto"/>
      </w:pPr>
      <w:r>
        <w:t xml:space="preserve">All simulations and manuscript generation were implemented in Python using NumPy, SciPy, scikit-learn, pandas, statsmodels and python-docx. The submission package was generated on a Devin-managed VM with 2 vCPUs (INTEL(R) XEON(R) PLATINUM 8559C), 7.8 GB RAM and Python 3.10.12.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environment with the pinned dependencies.</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These estimates are from a separate 30-replication sensitivity batch, so point estimates are noisier than the primary scenario. Crude bias declined with n. The residual method's absolute random-effects ATE bias plateaued near 0.008–0.009 across the three sample sizes (0.00824 at n=500, 0.00852 at n=2000 and 0.00864 at n=10 000); the slight differences between this n=2000 value and the 50-replication primary value in Table 1 (0.00816) reflect Monte Carlo variation. Its relative reduction therefore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to-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Z-to-X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spacing w:line="480" w:lineRule="auto"/>
      </w:pPr>
      <w:r>
        <w:t>CATE variance explained</w:t>
      </w:r>
    </w:p>
    <w:p>
      <w:pPr>
        <w:spacing w:line="480" w:lineRule="auto"/>
      </w:pPr>
      <w:r>
        <w:t xml:space="preserve">Figure 7 shows CATE variance explained (eta-squared,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eta-squared,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squared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(eta-squared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Recommendations for method choice</w:t>
      </w:r>
    </w:p>
    <w:p>
      <w:pPr>
        <w:spacing w:line="480" w:lineRule="auto"/>
      </w:pPr>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76" w:lineRule="auto"/>
            </w:pPr>
            <w:r>
              <w:rPr>
                <w:b/>
              </w:rPr>
              <w:t>Scenario characteristic</w:t>
            </w:r>
          </w:p>
        </w:tc>
        <w:tc>
          <w:tcPr>
            <w:tcW w:type="dxa" w:w="2160"/>
          </w:tcPr>
          <w:p>
            <w:pPr>
              <w:spacing w:line="276" w:lineRule="auto"/>
            </w:pPr>
            <w:r>
              <w:rPr>
                <w:b/>
              </w:rPr>
              <w:t>Recommended method</w:t>
            </w:r>
          </w:p>
        </w:tc>
        <w:tc>
          <w:tcPr>
            <w:tcW w:type="dxa" w:w="2160"/>
          </w:tcPr>
          <w:p>
            <w:pPr>
              <w:spacing w:line="276" w:lineRule="auto"/>
            </w:pPr>
            <w:r>
              <w:rPr>
                <w:b/>
              </w:rPr>
              <w:t>Rationale</w:t>
            </w:r>
          </w:p>
        </w:tc>
        <w:tc>
          <w:tcPr>
            <w:tcW w:type="dxa" w:w="2160"/>
          </w:tcPr>
          <w:p>
            <w:pPr>
              <w:spacing w:line="276" w:lineRule="auto"/>
            </w:pPr>
            <w:r>
              <w:rPr>
                <w:b/>
              </w:rPr>
              <w:t>Caveat</w:t>
            </w:r>
          </w:p>
        </w:tc>
      </w:tr>
      <w:tr>
        <w:tc>
          <w:tcPr>
            <w:tcW w:type="dxa" w:w="2160"/>
          </w:tcPr>
          <w:p>
            <w:pPr>
              <w:spacing w:line="276" w:lineRule="auto"/>
            </w:pPr>
            <w:r>
              <w:t>Strong covariate trace of a hidden modifier and moderate-to-large sample (n ~ 2000)</w:t>
            </w:r>
          </w:p>
        </w:tc>
        <w:tc>
          <w:tcPr>
            <w:tcW w:type="dxa" w:w="2160"/>
          </w:tcPr>
          <w:p>
            <w:pPr>
              <w:spacing w:line="276" w:lineRule="auto"/>
            </w:pPr>
            <w:r>
              <w:t>Residual-based IONE (1B)</w:t>
            </w:r>
          </w:p>
        </w:tc>
        <w:tc>
          <w:tcPr>
            <w:tcW w:type="dxa" w:w="2160"/>
          </w:tcPr>
          <w:p>
            <w:pPr>
              <w:spacing w:line="276" w:lineRule="auto"/>
            </w:pPr>
            <w:r>
              <w:t xml:space="preserve">Highest random-effects ATE bias reduction and </w:t>
            </w:r>
            <m:oMath>
              <m:sSub>
                <m:e>
                  <m:r>
                    <m:t xml:space="preserve">W</m:t>
                  </m:r>
                </m:e>
                <m:sub>
                  <m:r>
                    <m:t xml:space="preserve">true</m:t>
                  </m:r>
                </m:sub>
              </m:sSub>
            </m:oMath>
            <w:r>
              <w:t xml:space="preserve"> in the primary scenario</w:t>
            </w:r>
          </w:p>
        </w:tc>
        <w:tc>
          <w:tcPr>
            <w:tcW w:type="dxa" w:w="2160"/>
          </w:tcPr>
          <w:p>
            <w:pPr>
              <w:spacing w:line="276" w:lineRule="auto"/>
            </w:pPr>
            <w:r>
              <w:t>Hits a structural bias floor that does not vanish with sample size; requires a correctly specified outcome model with treatment-covariate interactions</w:t>
            </w:r>
          </w:p>
        </w:tc>
      </w:tr>
      <w:tr>
        <w:tc>
          <w:tcPr>
            <w:tcW w:type="dxa" w:w="2160"/>
          </w:tcPr>
          <w:p>
            <w:pPr>
              <w:spacing w:line="276" w:lineRule="auto"/>
            </w:pPr>
            <w:r>
              <w:t>Small sample (n ~ 500) with moderate modification</w:t>
            </w:r>
          </w:p>
        </w:tc>
        <w:tc>
          <w:tcPr>
            <w:tcW w:type="dxa" w:w="2160"/>
          </w:tcPr>
          <w:p>
            <w:pPr>
              <w:spacing w:line="276" w:lineRule="auto"/>
            </w:pPr>
            <w:r>
              <w:t>Residual-based IONE (1B)</w:t>
            </w:r>
          </w:p>
        </w:tc>
        <w:tc>
          <w:tcPr>
            <w:tcW w:type="dxa" w:w="2160"/>
          </w:tcPr>
          <w:p>
            <w:pPr>
              <w:spacing w:line="276" w:lineRule="auto"/>
            </w:pPr>
            <w:r>
              <w:t>Achieved the largest relative bias reduction and the smallest absolute random-effects bias at n = 500</w:t>
            </w:r>
          </w:p>
        </w:tc>
        <w:tc>
          <w:tcPr>
            <w:tcW w:type="dxa" w:w="2160"/>
          </w:tcPr>
          <w:p>
            <w:pPr>
              <w:spacing w:line="276" w:lineRule="auto"/>
            </w:pPr>
            <w:r>
              <w:t>Relative reduction partly reflects large crude bias; residual models can overfit when events are sparse</w:t>
            </w:r>
          </w:p>
        </w:tc>
      </w:tr>
      <w:tr>
        <w:tc>
          <w:tcPr>
            <w:tcW w:type="dxa" w:w="2160"/>
          </w:tcPr>
          <w:p>
            <w:pPr>
              <w:spacing w:line="276" w:lineRule="auto"/>
            </w:pPr>
            <w:r>
              <w:t>Large sample (n ~ 10 000) and strong measured confounding</w:t>
            </w:r>
          </w:p>
        </w:tc>
        <w:tc>
          <w:tcPr>
            <w:tcW w:type="dxa" w:w="2160"/>
          </w:tcPr>
          <w:p>
            <w:pPr>
              <w:spacing w:line="276" w:lineRule="auto"/>
            </w:pPr>
            <w:r>
              <w:t>Prognostic-score stratification (1A predicted-probability as a close alternative)</w:t>
            </w:r>
          </w:p>
        </w:tc>
        <w:tc>
          <w:tcPr>
            <w:tcW w:type="dxa" w:w="2160"/>
          </w:tcPr>
          <w:p>
            <w:pPr>
              <w:spacing w:line="276" w:lineRule="auto"/>
            </w:pPr>
            <w:r>
              <w:t>Smallest absolute RE bias and largest relative reduction at n = 10 000; predicted-probability stratification was second and comparable</w:t>
            </w:r>
          </w:p>
        </w:tc>
        <w:tc>
          <w:tcPr>
            <w:tcW w:type="dxa" w:w="2160"/>
          </w:tcPr>
          <w:p>
            <w:pPr>
              <w:spacing w:line="276" w:lineRule="auto"/>
            </w:pPr>
            <w:r>
              <w:t>Relative ranking depends on the sample size and chosen metric; choose the method whose constraints match the clinical question</w:t>
            </w:r>
          </w:p>
        </w:tc>
      </w:tr>
      <w:tr>
        <w:tc>
          <w:tcPr>
            <w:tcW w:type="dxa" w:w="2160"/>
          </w:tcPr>
          <w:p>
            <w:pPr>
              <w:spacing w:line="276" w:lineRule="auto"/>
            </w:pPr>
            <w:r>
              <w:t>Outcome model unavailable, misspecified or rare events</w:t>
            </w:r>
          </w:p>
        </w:tc>
        <w:tc>
          <w:tcPr>
            <w:tcW w:type="dxa" w:w="2160"/>
          </w:tcPr>
          <w:p>
            <w:pPr>
              <w:spacing w:line="276" w:lineRule="auto"/>
            </w:pPr>
            <w:r>
              <w:t>Outcome-free methods (PCA or k-means) or prognostic-score stratification</w:t>
            </w:r>
          </w:p>
        </w:tc>
        <w:tc>
          <w:tcPr>
            <w:tcW w:type="dxa" w:w="2160"/>
          </w:tcPr>
          <w:p>
            <w:pPr>
              <w:spacing w:line="276" w:lineRule="auto"/>
            </w:pPr>
            <w:r>
              <w:t>Do not use the outcome for stratification, so avoid degenerate logistic fits and overfitting</w:t>
            </w:r>
          </w:p>
        </w:tc>
        <w:tc>
          <w:tcPr>
            <w:tcW w:type="dxa" w:w="2160"/>
          </w:tcPr>
          <w:p>
            <w:pPr>
              <w:spacing w:line="276" w:lineRule="auto"/>
            </w:pPr>
            <w:r>
              <w:t>ATE bias reduction is generally smaller; C1 and W discrimination remains near chance</w:t>
            </w:r>
          </w:p>
        </w:tc>
      </w:tr>
      <w:tr>
        <w:tc>
          <w:tcPr>
            <w:tcW w:type="dxa" w:w="2160"/>
          </w:tcPr>
          <w:p>
            <w:pPr>
              <w:spacing w:line="276" w:lineRule="auto"/>
            </w:pPr>
            <w:r>
              <w:t>Need a descriptive flag for internal incoherence in real IPD</w:t>
            </w:r>
          </w:p>
        </w:tc>
        <w:tc>
          <w:tcPr>
            <w:tcW w:type="dxa" w:w="2160"/>
          </w:tcPr>
          <w:p>
            <w:pPr>
              <w:spacing w:line="276" w:lineRule="auto"/>
            </w:pPr>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calibrated against a permutation or residual null</w:t>
            </w:r>
          </w:p>
        </w:tc>
        <w:tc>
          <w:tcPr>
            <w:tcW w:type="dxa" w:w="2160"/>
          </w:tcPr>
          <w:p>
            <w:pPr>
              <w:spacing w:line="276" w:lineRule="auto"/>
            </w:pPr>
            <w:r>
              <w:t>Empirically centred on a no-modification null; use one of the three recipes described in the Methods</w:t>
            </w:r>
          </w:p>
        </w:tc>
        <w:tc>
          <w:tcPr>
            <w:tcW w:type="dxa" w:w="2160"/>
          </w:tcPr>
          <w:p>
            <w:pPr>
              <w:spacing w:line="276" w:lineRule="auto"/>
            </w:pPr>
            <w:r>
              <w:t>Do not use as a standalone inferential test; thresholds are method-specific and DGM-conditional; cross-check at least two nulls</w:t>
            </w:r>
          </w:p>
        </w:tc>
      </w:tr>
    </w:tbl>
    <w:p>
      <w:pPr>
        <w:spacing w:before="240" w:line="480" w:lineRule="auto"/>
      </w:pPr>
      <w:r/>
      <w:r>
        <w:rPr>
          <w:i/>
        </w:rPr>
        <w:t>Table 5. Recommendations for choosing a stratification method in an IPD meta-analysis sensitivity analysis.</w:t>
      </w:r>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reduce some of the marginal bias that is predictable from the measured covariates. For the residual method, DerSimonian-Laird pooling improved over fixed-effect pooling, suggesting that stratum-specific effects should be allowed to vary when the selected partition shows evidence of heterogeneity.</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bounded sorting accuracy reflected in the modest ARI values: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practical recommendations are: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3.10.12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jcmds_supplementary_v1.docx</w:t>
      </w:r>
      <w:r>
        <w:t>.</w:t>
      </w:r>
    </w:p>
    <w:p>
      <w:pPr>
        <w:pStyle w:val="Heading2"/>
        <w:spacing w:line="480" w:lineRule="auto"/>
      </w:pPr>
      <w:r>
        <w:t>Declaration of generative AI and AI-assisted technologies in the manuscript preparation process</w:t>
      </w:r>
    </w:p>
    <w:p>
      <w:pPr>
        <w:spacing w:line="480" w:lineRule="auto"/>
      </w:pPr>
      <w:r>
        <w:t>During the preparation of this work the author(s) used OpenAI GPT-4 and GPT-4o (accessed August 2025 through the date of submission) to draft and revise prose, format references, generate figures, and implement the computational pipeline. After using these tools, the author reviewed and edited the content as needed and takes full responsibility for the content of the published article. The author designed the study, wrote the simulation code, selected all references, verified every numerical result against the repository outputs, and approved the final scientific content. No AI-generated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 doi: 10.1002/9780470743386</w:t>
      </w:r>
    </w:p>
    <w:p>
      <w:pPr>
        <w:spacing w:line="480" w:lineRule="auto"/>
      </w:pPr>
      <w:r>
        <w:t>2. Riley RD, Lambert PC, Abo-Zaid G. Meta-analysis of individual participant data: rationale, conduct, and reporting. BMJ. 2010;340:c221. doi: 10.1136/bmj.c221</w:t>
      </w:r>
    </w:p>
    <w:p>
      <w:pPr>
        <w:spacing w:line="480" w:lineRule="auto"/>
      </w:pPr>
      <w:r>
        <w:t>3. Simmonds MC, Higgins JPT, Stewart LA, Tierney JF, Clarke MJ, Thompson SG. Meta-analysis of individual patient data from randomized trials: a review of methods used in practice. Clin Trials. 2005;2(3):209–217. doi: 10.1191/1740774505cn087oa</w:t>
      </w:r>
    </w:p>
    <w:p>
      <w:pPr>
        <w:spacing w:line="480" w:lineRule="auto"/>
      </w:pPr>
      <w:r>
        <w:t>4. DerSimonian R, Laird N. Meta-analysis in clinical trials. Control Clin Trials. 1986;7(3):177–188. doi: 10.1016/0197-2456(86)90046-2</w:t>
      </w:r>
    </w:p>
    <w:p>
      <w:pPr>
        <w:spacing w:line="480" w:lineRule="auto"/>
      </w:pPr>
      <w:r>
        <w:t>5. Higgins JPT, Thompson SG. Quantifying heterogeneity in a meta-analysis. Stat Med. 2002;21(11):1539–1558. doi: 10.1002/sim.1186</w:t>
      </w:r>
    </w:p>
    <w:p>
      <w:pPr>
        <w:spacing w:line="480" w:lineRule="auto"/>
      </w:pPr>
      <w:r>
        <w:t>6. Riley RD, Higgins JPT, Deeks JJ. Interpretation of random effects meta-analyses. BMJ. 2011;342:d549. doi: 10.1136/bmj.d549</w:t>
      </w:r>
    </w:p>
    <w:p>
      <w:pPr>
        <w:spacing w:line="480" w:lineRule="auto"/>
      </w:pPr>
      <w:r>
        <w:t>7. Pearl J. Causality. 2nd ed. Cambridge: Cambridge University Press; 2009. doi: 10.1017/cbo9780511803161</w:t>
      </w:r>
    </w:p>
    <w:p>
      <w:pPr>
        <w:spacing w:line="480" w:lineRule="auto"/>
      </w:pPr>
      <w:r>
        <w:t>8. Greenland S, Robins JM, Pearl J. Confounding and collapsibility in causal inference. Stat Sci. 1999;14(1):29–46. doi: 10.1214/ss/1009211805</w:t>
      </w:r>
    </w:p>
    <w:p>
      <w:pPr>
        <w:spacing w:line="480" w:lineRule="auto"/>
      </w:pPr>
      <w:r>
        <w:t>9. Simpson EH. The interpretation of interaction in contingency tables. J R Stat Soc Ser B. 1951;13(2):238–241. doi: 10.1111/j.2517-6161.1951.tb00088.x</w:t>
      </w:r>
    </w:p>
    <w:p>
      <w:pPr>
        <w:spacing w:line="480" w:lineRule="auto"/>
      </w:pPr>
      <w:r>
        <w:t>10. Rojanaworarit C. Misleading epidemiological and statistical evidence in the presence of Simpson's paradox: an illustrative study using simulated scenarios. J Med Life. 2020;13(1):37–44. doi: 10.25122/jml-2019-0120</w:t>
      </w:r>
    </w:p>
    <w:p>
      <w:pPr>
        <w:spacing w:line="480" w:lineRule="auto"/>
      </w:pPr>
      <w:r>
        <w:t>11. Charig CR, Webb DR, Payne SR, Wickham JE. Comparison of treatment of renal calculi by open surgery, percutaneous nephrolithotomy, and extracorporeal shockwave lithotripsy. BMJ. 1986;292(6524):879–882. doi: 10.1136/bmj.292.6524.879</w:t>
      </w:r>
    </w:p>
    <w:p>
      <w:pPr>
        <w:spacing w:line="480" w:lineRule="auto"/>
      </w:pPr>
      <w:r>
        <w:t>12. Bickel PJ, Hammel EA, O'Connell JW. Sex bias in graduate admissions: data from Berkeley. Science. 1975;187(4175):398–404. doi: 10.1126/science.187.4175.398</w:t>
      </w:r>
    </w:p>
    <w:p>
      <w:pPr>
        <w:spacing w:line="480" w:lineRule="auto"/>
      </w:pPr>
      <w:r>
        <w:t>13. von Kügelgen J, Gresele L, Schölkopf B. Simpson's paradox in Covid-19 case fatality rates: a mediation analysis of age-related causal effects. IEEE Trans Artif Intell. 2021;2(1):18–27. doi: 10.1109/TAI.2021.3073088</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 doi: 10.1016/S0140-6736(21)00947-8</w:t>
      </w:r>
    </w:p>
    <w:p>
      <w:pPr>
        <w:spacing w:line="480" w:lineRule="auto"/>
      </w:pPr>
      <w:r>
        <w:t>15. Appleton DR, French NR, Vanderpump MP. Ignoring a covariate: an example of Simpson's paradox. Am Stat. 1996;50(4):340–341. doi: 10.1080/00031305.1996.10473563</w:t>
      </w:r>
    </w:p>
    <w:p>
      <w:pPr>
        <w:spacing w:line="480" w:lineRule="auto"/>
      </w:pPr>
      <w:r>
        <w:t>16. Morris TP, White IR, Crowther MJ. Using simulation studies to evaluate statistical methods. Stat Med. 2019;38(11):2074–2102. doi: 10.1002/sim.8086</w:t>
      </w:r>
    </w:p>
    <w:p>
      <w:pPr>
        <w:spacing w:line="480" w:lineRule="auto"/>
      </w:pPr>
      <w:r>
        <w:t>17. Rosenbaum PR, Rubin DB. The central role of the propensity score in observational studies for causal effects. Biometrika. 1983;70(1):41–55. doi: 10.1093/biomet/70.1.41</w:t>
      </w:r>
    </w:p>
    <w:p>
      <w:pPr>
        <w:spacing w:line="480" w:lineRule="auto"/>
      </w:pPr>
      <w:r>
        <w:t>18. McLachlan GJ, Peel D. Finite Mixture Models. New York: Wiley; 2000. doi: 10.1002/0471721182</w:t>
      </w:r>
    </w:p>
    <w:p>
      <w:pPr>
        <w:spacing w:line="480" w:lineRule="auto"/>
      </w:pPr>
      <w:r>
        <w:t>19. Hansen BB. The prognostic analogue of the propensity score. Biometrika. 2008;95(2):481–488. doi: 10.1093/biomet/asn004</w:t>
      </w:r>
    </w:p>
    <w:p>
      <w:pPr>
        <w:spacing w:line="480" w:lineRule="auto"/>
      </w:pPr>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