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by hidden effect modifiers. We introduce coherence diagnostics C1 and W and evaluate them in a simulation benchmark of stratification approaches.</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their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Bias reduction improved with larger samples and stronger effect modification, while null-centred W confirmed weak discrimination.</w:t>
      </w:r>
    </w:p>
    <w:p>
      <w:pPr>
        <w:spacing w:line="480" w:lineRule="auto"/>
      </w:pPr>
      <w:r/>
      <w:r>
        <w:rPr>
          <w:b/>
        </w:rPr>
        <w:t>Conclusions:</w:t>
      </w:r>
      <w:r>
        <w:t xml:space="preserve"> IONE is a descriptive sensitivity tool, not an inferential test for hidden effect modification. It should be reported alongside conventional meta-analytic models and covariate adjustment.</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spacing w:line="480" w:lineRule="auto"/>
      </w:pPr>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published Table 2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constructed true-Z partition was modest (Oracle ARI 0.372; best non-Oracle 1B_residual 0.032). Methods closer to the Oracle had C1 nearer to 1 and higher </w:t>
      </w:r>
      <m:oMath>
        <m:sSub>
          <m:e>
            <m:r>
              <m:t xml:space="preserve">W</m:t>
            </m:r>
          </m:e>
          <m:sub>
            <m:r>
              <m:t xml:space="preserve">true</m:t>
            </m:r>
          </m:sub>
        </m:sSub>
      </m:oMath>
      <w:r>
        <w:t xml:space="preserve">,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confirming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largest relative reductions for leading methods occurred at n = 10 000. At n = 10 000 the residual method had random-effects ATE bias 0.00864 (relative reduction 0.348), compared with 0.00816 at n = 2000. The residual method showed an absolute floor near 0.008-0.009, so its relative reduction decreased with n. This pattern indicates that stratification can remove the estimable part of confounding-driven aggregation bias,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S5 reports the empirical null percentiles used as thresholds.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spacing w:line="480" w:lineRule="auto"/>
      </w:pPr>
      <w:r>
        <w:t>CATE variance explained</w:t>
      </w:r>
    </w:p>
    <w:p>
      <w:pPr>
        <w:spacing w:line="480" w:lineRule="auto"/>
      </w:pPr>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confirms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although the absolute bias fell compared with n = 2000.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SMMR readers</w:t>
      </w:r>
    </w:p>
    <w:p>
      <w:pPr>
        <w:spacing w:line="480" w:lineRule="auto"/>
      </w:pPr>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w:t>
      </w:r>
    </w:p>
    <w:p>
      <w:pPr>
        <w:spacing w:line="480" w:lineRule="auto"/>
      </w:pPr>
      <w:r>
        <w:t>[17] Rosenbaum PR, Rubin DB. The central role of the propensity score in observational studies for causal effects. Biometrika. 1983;70(1):41–55.</w:t>
      </w:r>
    </w:p>
    <w:p>
      <w:pPr>
        <w:spacing w:line="480" w:lineRule="auto"/>
      </w:pPr>
      <w:r>
        <w:t>[18] McLachlan GJ, Peel D. Finite Mixture Models. New York: Wiley; 2000.</w:t>
      </w:r>
    </w:p>
    <w:p>
      <w:pPr>
        <w:spacing w:line="480" w:lineRule="auto"/>
      </w:pPr>
      <w:r>
        <w:t>[19] Hansen BB. The prognostic analogue of the propensity score. Biometrika. 2008;95(2):481–488.</w:t>
      </w:r>
    </w:p>
    <w:p>
      <w:pPr>
        <w:spacing w:line="480" w:lineRule="auto"/>
      </w:pPr>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