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IONE (Incoherence-Oriented Neutralisation and Extraction) and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bias floor at n = 500</w:t>
            </w:r>
          </w:p>
        </w:tc>
        <w:tc>
          <w:tcPr>
            <w:tcW w:type="dxa" w:w="2160"/>
          </w:tcPr>
          <w:p>
            <w:r>
              <w:t>Relative reduction partly reflects large crude bias; residual model can overfit when events are sparse</w:t>
            </w:r>
          </w:p>
        </w:tc>
      </w:tr>
      <w:tr>
        <w:tc>
          <w:tcPr>
            <w:tcW w:type="dxa" w:w="2160"/>
          </w:tcPr>
          <w:p>
            <w:r>
              <w:t>Large sample (n ≈ 10 000) and strong measured confounding</w:t>
            </w:r>
          </w:p>
        </w:tc>
        <w:tc>
          <w:tcPr>
            <w:tcW w:type="dxa" w:w="2160"/>
          </w:tcPr>
          <w:p>
            <w:r>
              <w:t>Propensity-score, prognostic-score or clustering stratification</w:t>
            </w:r>
          </w:p>
        </w:tc>
        <w:tc>
          <w:tcPr>
            <w:tcW w:type="dxa" w:w="2160"/>
          </w:tcPr>
          <w:p>
            <w:r>
              <w:t>Largest relative reductions after finite-sample error was dominated by structural differences</w:t>
            </w:r>
          </w:p>
        </w:tc>
        <w:tc>
          <w:tcPr>
            <w:tcW w:type="dxa" w:w="2160"/>
          </w:tcPr>
          <w:p>
            <w:r>
              <w:t>Residual-based stratification is overtaken once crude bias is small; method-specific performance still varies</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w:t>
            </w:r>
          </w:p>
        </w:tc>
        <w:tc>
          <w:tcPr>
            <w:tcW w:type="dxa" w:w="2160"/>
          </w:tcPr>
          <w:p>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alongside the primary analysis</w:t>
            </w:r>
          </w:p>
        </w:tc>
        <w:tc>
          <w:tcPr>
            <w:tcW w:type="dxa" w:w="2160"/>
          </w:tcPr>
          <w:p>
            <w:r>
              <w:t>Empirically calibrated against a no-modification null</w:t>
            </w:r>
          </w:p>
        </w:tc>
        <w:tc>
          <w:tcPr>
            <w:tcW w:type="dxa" w:w="2160"/>
          </w:tcPr>
          <w:p>
            <w:r>
              <w:t>Do not use as a standalone inferential test; thresholds are method-specific and DGM-conditional</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 doi: 10.25122/jml-2019-0120</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