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IONE (Incoherence-Oriented Neutralisation and Extraction) and a simulation benchmark of stratification approaches</w:t>
      </w:r>
    </w:p>
    <w:p>
      <w:pPr>
        <w:spacing w:line="480" w:lineRule="auto"/>
      </w:pPr>
      <w:r>
        <w:br w:type="page"/>
      </w:r>
    </w:p>
    <w:p>
      <w:pPr>
        <w:pStyle w:val="Heading1"/>
        <w:spacing w:line="480" w:lineRule="auto"/>
      </w:pPr>
      <w:r>
        <w:t>Abstract</w:t>
      </w:r>
    </w:p>
    <w:p>
      <w:pPr>
        <w:spacing w:line="480" w:lineRule="auto"/>
      </w:pPr>
      <w:r/>
      <w:r>
        <w:rPr>
          <w:b/>
        </w:rPr>
        <w:t>Background:</w:t>
      </w:r>
      <w:r>
        <w:t xml:space="preserve"> In individual participant data (IPD) meta-analysis, marginal effect estimates can be biased by hidden effect modifiers. We introduce two coherence diagnostics, C1 and W, and present a reproducible simulation benchmark of seven stratification approaches.</w:t>
      </w:r>
    </w:p>
    <w:p>
      <w:pPr>
        <w:spacing w:line="480" w:lineRule="auto"/>
      </w:pPr>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ATE bias reduction, calibrating the diagnostics against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pPr>
        <w:spacing w:line="480" w:lineRule="auto"/>
      </w:pPr>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aim is not to recover hidden variables, but to flag marginal summaries that may be misleading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use IONE with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coherence within the formed strata; W is a ratio whose denominator is the overall CATE variance and is therefore unstable when the modification signal is weak.</w:t>
      </w:r>
    </w:p>
    <w:p>
      <w:pPr>
        <w:spacing w:line="480" w:lineRule="auto"/>
      </w:pPr>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pStyle w:val="Heading3"/>
        <w:spacing w:line="480" w:lineRule="auto"/>
      </w:pPr>
      <w:r>
        <w:t>Formal definitions</w:t>
      </w:r>
    </w:p>
    <w:p>
      <w:pPr>
        <w:spacing w:line="480" w:lineRule="auto"/>
      </w:pPr>
      <w:r>
        <w:t xml:space="preserve">For a stratification with K strata, let </w:t>
      </w:r>
      <m:oMath>
        <m:sSub>
          <m:e>
            <m:r>
              <m:t xml:space="preserve">θ</m:t>
            </m:r>
          </m:e>
          <m:sub>
            <m:r>
              <m:t xml:space="preserve">k</m:t>
            </m:r>
          </m:sub>
        </m:sSub>
      </m:oMath>
      <w:r>
        <w:t xml:space="preserve"> denote the stratum-specific log odds ratio, </w:t>
      </w:r>
      <m:oMath>
        <m:sSup>
          <m:e>
            <m:r>
              <m:t xml:space="preserve">τ</m:t>
            </m:r>
          </m:e>
          <m:sup>
            <m:r>
              <m:t xml:space="preserve">2</m:t>
            </m:r>
          </m:sup>
        </m:sSup>
      </m:oMath>
      <w:r>
        <w:t xml:space="preserve"> the between-stratum variance, and </w:t>
      </w:r>
      <m:oMath>
        <m:sSub>
          <m:e>
            <m:r>
              <m:t xml:space="preserve">v</m:t>
            </m:r>
          </m:e>
          <m:sub>
            <m:r>
              <m:t xml:space="preserve">w</m:t>
            </m:r>
          </m:sub>
        </m:sSub>
      </m:oMath>
      <w:r>
        <w:t xml:space="preserve"> a typical within-stratum sampling variance. Then</w:t>
      </w:r>
    </w:p>
    <w:p>
      <w:pPr>
        <w:spacing w:line="480" w:lineRule="auto"/>
      </w:pPr>
      <m:oMath>
        <m:r>
          <m:t xml:space="preserve">C1 = 1 - </m:t>
        </m:r>
        <m:sSup>
          <m:e>
            <m:r>
              <m:t xml:space="preserve">I</m:t>
            </m:r>
          </m:e>
          <m:sup>
            <m:r>
              <m:t xml:space="preserve">2</m:t>
            </m:r>
          </m:sup>
        </m:sSup>
        <m:r>
          <m:t xml:space="preserve"> = 1 - </m:t>
        </m:r>
        <m:f>
          <m:num>
            <m:sSup>
              <m:e>
                <m:r>
                  <m:t xml:space="preserve">τ</m:t>
                </m:r>
              </m:e>
              <m:sup>
                <m:r>
                  <m:t xml:space="preserve">2</m:t>
                </m:r>
              </m:sup>
            </m:sSup>
          </m:num>
          <m:den>
            <m:sSup>
              <m:e>
                <m:r>
                  <m:t xml:space="preserve">τ</m:t>
                </m:r>
              </m:e>
              <m:sup>
                <m:r>
                  <m:t xml:space="preserve">2</m:t>
                </m:r>
              </m:sup>
            </m:sSup>
            <m:r>
              <m:t xml:space="preserve"> + </m:t>
            </m:r>
            <m:sSub>
              <m:e>
                <m:r>
                  <m:t xml:space="preserve">v</m:t>
                </m:r>
              </m:e>
              <m:sub>
                <m:r>
                  <m:t xml:space="preserve">w</m:t>
                </m:r>
              </m:sub>
            </m:sSub>
          </m:den>
        </m:f>
      </m:oMath>
      <w:r>
        <w:t xml:space="preserve">,</w:t>
      </w:r>
    </w:p>
    <w:p>
      <w:pPr>
        <w:spacing w:line="480" w:lineRule="auto"/>
      </w:pPr>
      <w:r>
        <w:t xml:space="preserve">where lower C1 indicates greater between-stratum heterogeneity of stratum-specific log odds ratios. For estimated individual CATEs </w:t>
      </w:r>
      <m:oMath>
        <m:r>
          <m:t xml:space="preserve">τ(</m:t>
        </m:r>
        <m:sSub>
          <m:e>
            <m:r>
              <m:t xml:space="preserve">X</m:t>
            </m:r>
          </m:e>
          <m:sub>
            <m:r>
              <m:t xml:space="preserve">i</m:t>
            </m:r>
          </m:sub>
        </m:sSub>
        <m:r>
          <m:t xml:space="preserve">)</m:t>
        </m:r>
      </m:oMath>
      <w:r>
        <w:t xml:space="preserve">, let </w:t>
      </w:r>
      <m:oMath>
        <m:sSub>
          <m:e>
            <m:r>
              <m:t xml:space="preserve">τ</m:t>
            </m:r>
          </m:e>
          <m:sub>
            <m:r>
              <m:t xml:space="preserve">k</m:t>
            </m:r>
          </m:sub>
        </m:sSub>
      </m:oMath>
      <w:r>
        <w:t xml:space="preserve"> be the stratum mean and tau the overall mean. The proportion of total CATE variance explained by the stratification is</w:t>
      </w:r>
    </w:p>
    <w:p>
      <w:pPr>
        <w:spacing w:line="480" w:lineRule="auto"/>
      </w:pPr>
      <m:oMath>
        <m:r>
          <m:t xml:space="preserve">W = </m:t>
        </m:r>
        <m:f>
          <m:num>
            <m:sSub>
              <m:e>
                <m:r>
                  <m:t xml:space="preserve">Σ</m:t>
                </m:r>
              </m:e>
              <m:sub>
                <m:r>
                  <m:t xml:space="preserve">k</m:t>
                </m:r>
              </m:sub>
            </m:sSub>
            <m:r>
              <m:t xml:space="preserve"> </m:t>
            </m:r>
            <m:sSub>
              <m:e>
                <m:r>
                  <m:t xml:space="preserve">n</m:t>
                </m:r>
              </m:e>
              <m:sub>
                <m:r>
                  <m:t xml:space="preserve">k</m:t>
                </m:r>
              </m:sub>
            </m:sSub>
            <m:r>
              <m:t xml:space="preserve"> </m:t>
            </m:r>
            <m:sSup>
              <m:e>
                <m:r>
                  <m:t xml:space="preserve">(</m:t>
                </m:r>
                <m:sSub>
                  <m:e>
                    <m:r>
                      <m:t xml:space="preserve">τ</m:t>
                    </m:r>
                  </m:e>
                  <m:sub>
                    <m:r>
                      <m:t xml:space="preserve">k</m:t>
                    </m:r>
                  </m:sub>
                </m:sSub>
                <m:r>
                  <m:t xml:space="preserve"> - </m:t>
                </m:r>
                <m:r>
                  <m:t xml:space="preserve">τ</m:t>
                </m:r>
                <m:r>
                  <m:t xml:space="preserve">)</m:t>
                </m:r>
              </m:e>
              <m:sup>
                <m:r>
                  <m:t xml:space="preserve">2</m:t>
                </m:r>
              </m:sup>
            </m:sSup>
          </m:num>
          <m:den>
            <m:sSub>
              <m:e>
                <m:r>
                  <m:t xml:space="preserve">Σ</m:t>
                </m:r>
              </m:e>
              <m:sub>
                <m:r>
                  <m:t xml:space="preserve">i</m:t>
                </m:r>
              </m:sub>
            </m:sSub>
            <m:r>
              <m:t xml:space="preserve"> </m:t>
            </m:r>
            <m:sSup>
              <m:e>
                <m:r>
                  <m:t xml:space="preserve">(</m:t>
                </m:r>
                <m:sSub>
                  <m:e>
                    <m:r>
                      <m:t xml:space="preserve">τ</m:t>
                    </m:r>
                  </m:e>
                  <m:sub>
                    <m:r>
                      <m:t xml:space="preserve">i</m:t>
                    </m:r>
                  </m:sub>
                </m:sSub>
                <m:r>
                  <m:t xml:space="preserve"> - </m:t>
                </m:r>
                <m:r>
                  <m:t xml:space="preserve">τ</m:t>
                </m:r>
                <m:r>
                  <m:t xml:space="preserve">)</m:t>
                </m:r>
              </m:e>
              <m:sup>
                <m:r>
                  <m:t xml:space="preserve">2</m:t>
                </m:r>
              </m:sup>
            </m:sSup>
          </m:den>
        </m:f>
      </m:oMath>
      <w:r>
        <w:t xml:space="preserve">,</w:t>
      </w:r>
    </w:p>
    <w:p>
      <w:pPr>
        <w:spacing w:line="480" w:lineRule="auto"/>
      </w:pPr>
      <w:r>
        <w:t>where the numerator is the between-stratum variance weighted by stratum size and the denominator is the total variance of estimated individual CATEs. Both C1 and W are descriptive indices; they flag incoherence but are not inferential tests for hidden effect modification.</w:t>
      </w:r>
    </w:p>
    <w:p>
      <w:pPr>
        <w:spacing w:line="480" w:lineRule="auto"/>
      </w:pPr>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excess values centred on the empirical null mean (</w:t>
      </w:r>
      <m:oMath>
        <m:sSub>
          <m:e>
            <m:r>
              <m:t xml:space="preserve">C1</m:t>
            </m:r>
          </m:e>
          <m:sub>
            <m:r>
              <m:t xml:space="preserve">excess</m:t>
            </m:r>
          </m:sub>
        </m:sSub>
      </m:oMath>
      <w:r>
        <w:t xml:space="preserve"> and </w:t>
      </w:r>
      <m:oMath>
        <m:sSub>
          <m:e>
            <m:r>
              <m:t xml:space="preserve">W</m:t>
            </m:r>
          </m:e>
          <m:sub>
            <m:r>
              <m:t xml:space="preserve">excess</m:t>
            </m:r>
          </m:sub>
        </m:sSub>
      </m:oMath>
      <w:r>
        <w:t xml:space="preserve">) and include </w:t>
      </w:r>
      <m:oMath>
        <m:sSup>
          <m:e>
            <m:r>
              <m:t xml:space="preserve">η</m:t>
            </m:r>
          </m:e>
          <m:sup>
            <m:r>
              <m:t xml:space="preserve">2</m:t>
            </m:r>
          </m:sup>
        </m:sSup>
      </m:oMath>
      <w:r>
        <w:t xml:space="preserve">, the ratio of between-stratum CATE variance to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Computational implementation</w:t>
      </w:r>
    </w:p>
    <w:p>
      <w:pPr>
        <w:spacing w:line="480" w:lineRule="auto"/>
      </w:pPr>
      <w:r>
        <w:t xml:space="preserve">All simulations and manuscript generation were implemented in Python 3.11 using NumPy 2.x, SciPy, scikit-learn 1.5, pandas, statsmodels and python-docx.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3.11 environment with the pinned dependencies.</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w:t>
      </w:r>
      <m:oMath>
        <m:sSub>
          <m:e>
            <m:r>
              <m:t xml:space="preserve">C1</m:t>
            </m:r>
          </m:e>
          <m:sub>
            <m:r>
              <m:t xml:space="preserve">excess</m:t>
            </m:r>
          </m:sub>
        </m:sSub>
      </m:oMath>
      <w:r>
        <w:t xml:space="preserve"> 0.054; </w:t>
      </w:r>
      <m:oMath>
        <m:sSub>
          <m:e>
            <m:r>
              <m:t xml:space="preserve">W</m:t>
            </m:r>
          </m:e>
          <m:sub>
            <m:r>
              <m:t xml:space="preserve">est excess</m:t>
            </m:r>
          </m:sub>
        </m:sSub>
      </m:oMath>
      <w:r>
        <w:t xml:space="preserve">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reduce the component of aggregation bias that is predictable from measured covariates,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1C_cv_decision</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spacing w:line="480" w:lineRule="auto"/>
      </w:pPr>
      <w:r>
        <w:t>CATE variance explained</w:t>
      </w:r>
    </w:p>
    <w:p>
      <w:pPr>
        <w:spacing w:line="480" w:lineRule="auto"/>
      </w:pPr>
      <w:r>
        <w:t xml:space="preserve">Figure 7 shows CATE variance explained (</w:t>
      </w:r>
      <m:oMath>
        <m:sSup>
          <m:e>
            <m:r>
              <m:t xml:space="preserve">η</m:t>
            </m:r>
          </m:e>
          <m:sup>
            <m:r>
              <m:t xml:space="preserve">2</m:t>
            </m:r>
          </m:sup>
        </m:sSup>
      </m:oMath>
      <w:r>
        <w:t xml:space="preserve">,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w:t>
      </w:r>
      <m:oMath>
        <m:sSup>
          <m:e>
            <m:r>
              <m:t xml:space="preserve">η</m:t>
            </m:r>
          </m:e>
          <m:sup>
            <m:r>
              <m:t xml:space="preserve">2</m:t>
            </m:r>
          </m:sup>
        </m:sSup>
      </m:oMath>
      <w:r>
        <w:t xml:space="preserve">,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w:t>
      </w:r>
      <m:oMath>
        <m:sSup>
          <m:e>
            <m:r>
              <m:t xml:space="preserve">η</m:t>
            </m:r>
          </m:e>
          <m:sup>
            <m:r>
              <m:t xml:space="preserve">2</m:t>
            </m:r>
          </m:sup>
        </m:sSup>
      </m:oMath>
      <w:r>
        <w:rPr>
          <w:b/>
        </w:rPr>
        <w:t xml:space="preserve">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Recommendations for method choice</w:t>
      </w:r>
    </w:p>
    <w:p>
      <w:pPr>
        <w:spacing w:line="480" w:lineRule="auto"/>
      </w:pPr>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76" w:lineRule="auto"/>
            </w:pPr>
            <w:r>
              <w:rPr>
                <w:b/>
              </w:rPr>
              <w:t>Scenario characteristic</w:t>
            </w:r>
          </w:p>
        </w:tc>
        <w:tc>
          <w:tcPr>
            <w:tcW w:type="dxa" w:w="2160"/>
          </w:tcPr>
          <w:p>
            <w:pPr>
              <w:spacing w:line="276" w:lineRule="auto"/>
            </w:pPr>
            <w:r>
              <w:rPr>
                <w:b/>
              </w:rPr>
              <w:t>Recommended method</w:t>
            </w:r>
          </w:p>
        </w:tc>
        <w:tc>
          <w:tcPr>
            <w:tcW w:type="dxa" w:w="2160"/>
          </w:tcPr>
          <w:p>
            <w:pPr>
              <w:spacing w:line="276" w:lineRule="auto"/>
            </w:pPr>
            <w:r>
              <w:rPr>
                <w:b/>
              </w:rPr>
              <w:t>Rationale</w:t>
            </w:r>
          </w:p>
        </w:tc>
        <w:tc>
          <w:tcPr>
            <w:tcW w:type="dxa" w:w="2160"/>
          </w:tcPr>
          <w:p>
            <w:pPr>
              <w:spacing w:line="276" w:lineRule="auto"/>
            </w:pPr>
            <w:r>
              <w:rPr>
                <w:b/>
              </w:rPr>
              <w:t>Caveat</w:t>
            </w:r>
          </w:p>
        </w:tc>
      </w:tr>
      <w:tr>
        <w:tc>
          <w:tcPr>
            <w:tcW w:type="dxa" w:w="2160"/>
          </w:tcPr>
          <w:p>
            <w:pPr>
              <w:spacing w:line="276" w:lineRule="auto"/>
            </w:pPr>
            <w:r>
              <w:t>Strong covariate trace of a hidden modifier and moderate-to-large sample</w:t>
            </w:r>
          </w:p>
        </w:tc>
        <w:tc>
          <w:tcPr>
            <w:tcW w:type="dxa" w:w="2160"/>
          </w:tcPr>
          <w:p>
            <w:pPr>
              <w:spacing w:line="276" w:lineRule="auto"/>
            </w:pPr>
            <w:r>
              <w:t>Residual-based IONE (1B)</w:t>
            </w:r>
          </w:p>
        </w:tc>
        <w:tc>
          <w:tcPr>
            <w:tcW w:type="dxa" w:w="2160"/>
          </w:tcPr>
          <w:p>
            <w:pPr>
              <w:spacing w:line="276" w:lineRule="auto"/>
            </w:pPr>
            <w:r>
              <w:t xml:space="preserve">Highest random-effects ATE bias reduction and </w:t>
            </w:r>
            <m:oMath>
              <m:sSub>
                <m:e>
                  <m:r>
                    <m:t xml:space="preserve">W</m:t>
                  </m:r>
                </m:e>
                <m:sub>
                  <m:r>
                    <m:t xml:space="preserve">true</m:t>
                  </m:r>
                </m:sub>
              </m:sSub>
            </m:oMath>
            <w:r>
              <w:t xml:space="preserve"> in the primary scenario</w:t>
            </w:r>
          </w:p>
        </w:tc>
        <w:tc>
          <w:tcPr>
            <w:tcW w:type="dxa" w:w="2160"/>
          </w:tcPr>
          <w:p>
            <w:pPr>
              <w:spacing w:line="276" w:lineRule="auto"/>
            </w:pPr>
            <w:r>
              <w:t>Hits a structural bias floor that does not vanish with sample size; requires a correctly specified outcome model with treatment-covariate interactions</w:t>
            </w:r>
          </w:p>
        </w:tc>
      </w:tr>
      <w:tr>
        <w:tc>
          <w:tcPr>
            <w:tcW w:type="dxa" w:w="2160"/>
          </w:tcPr>
          <w:p>
            <w:pPr>
              <w:spacing w:line="276" w:lineRule="auto"/>
            </w:pPr>
            <w:r>
              <w:t>Small sample (n ≈ 500) with moderate modification</w:t>
            </w:r>
          </w:p>
        </w:tc>
        <w:tc>
          <w:tcPr>
            <w:tcW w:type="dxa" w:w="2160"/>
          </w:tcPr>
          <w:p>
            <w:pPr>
              <w:spacing w:line="276" w:lineRule="auto"/>
            </w:pPr>
            <w:r>
              <w:t>Residual-based IONE (1B)</w:t>
            </w:r>
          </w:p>
        </w:tc>
        <w:tc>
          <w:tcPr>
            <w:tcW w:type="dxa" w:w="2160"/>
          </w:tcPr>
          <w:p>
            <w:pPr>
              <w:spacing w:line="276" w:lineRule="auto"/>
            </w:pPr>
            <w:r>
              <w:t>Achieved the largest relative bias reduction and the smallest absolute bias floor at n = 500</w:t>
            </w:r>
          </w:p>
        </w:tc>
        <w:tc>
          <w:tcPr>
            <w:tcW w:type="dxa" w:w="2160"/>
          </w:tcPr>
          <w:p>
            <w:pPr>
              <w:spacing w:line="276" w:lineRule="auto"/>
            </w:pPr>
            <w:r>
              <w:t>Relative reduction partly reflects large crude bias; residual model can overfit when events are sparse</w:t>
            </w:r>
          </w:p>
        </w:tc>
      </w:tr>
      <w:tr>
        <w:tc>
          <w:tcPr>
            <w:tcW w:type="dxa" w:w="2160"/>
          </w:tcPr>
          <w:p>
            <w:pPr>
              <w:spacing w:line="276" w:lineRule="auto"/>
            </w:pPr>
            <w:r>
              <w:t>Large sample (n ≈ 10 000) and strong measured confounding</w:t>
            </w:r>
          </w:p>
        </w:tc>
        <w:tc>
          <w:tcPr>
            <w:tcW w:type="dxa" w:w="2160"/>
          </w:tcPr>
          <w:p>
            <w:pPr>
              <w:spacing w:line="276" w:lineRule="auto"/>
            </w:pPr>
            <w:r>
              <w:t>Propensity-score, prognostic-score or clustering stratification</w:t>
            </w:r>
          </w:p>
        </w:tc>
        <w:tc>
          <w:tcPr>
            <w:tcW w:type="dxa" w:w="2160"/>
          </w:tcPr>
          <w:p>
            <w:pPr>
              <w:spacing w:line="276" w:lineRule="auto"/>
            </w:pPr>
            <w:r>
              <w:t>Largest relative reductions after finite-sample error was dominated by structural differences</w:t>
            </w:r>
          </w:p>
        </w:tc>
        <w:tc>
          <w:tcPr>
            <w:tcW w:type="dxa" w:w="2160"/>
          </w:tcPr>
          <w:p>
            <w:pPr>
              <w:spacing w:line="276" w:lineRule="auto"/>
            </w:pPr>
            <w:r>
              <w:t>Residual-based stratification is overtaken once crude bias is small; method-specific performance still varies</w:t>
            </w:r>
          </w:p>
        </w:tc>
      </w:tr>
      <w:tr>
        <w:tc>
          <w:tcPr>
            <w:tcW w:type="dxa" w:w="2160"/>
          </w:tcPr>
          <w:p>
            <w:pPr>
              <w:spacing w:line="276" w:lineRule="auto"/>
            </w:pPr>
            <w:r>
              <w:t>Outcome model unavailable, misspecified or rare events</w:t>
            </w:r>
          </w:p>
        </w:tc>
        <w:tc>
          <w:tcPr>
            <w:tcW w:type="dxa" w:w="2160"/>
          </w:tcPr>
          <w:p>
            <w:pPr>
              <w:spacing w:line="276" w:lineRule="auto"/>
            </w:pPr>
            <w:r>
              <w:t>Outcome-free methods (PCA or k-means) or prognostic-score stratification</w:t>
            </w:r>
          </w:p>
        </w:tc>
        <w:tc>
          <w:tcPr>
            <w:tcW w:type="dxa" w:w="2160"/>
          </w:tcPr>
          <w:p>
            <w:pPr>
              <w:spacing w:line="276" w:lineRule="auto"/>
            </w:pPr>
            <w:r>
              <w:t>Do not use the outcome for stratification, so avoid degenerate logistic fits and overfitting</w:t>
            </w:r>
          </w:p>
        </w:tc>
        <w:tc>
          <w:tcPr>
            <w:tcW w:type="dxa" w:w="2160"/>
          </w:tcPr>
          <w:p>
            <w:pPr>
              <w:spacing w:line="276" w:lineRule="auto"/>
            </w:pPr>
            <w:r>
              <w:t>ATE bias reduction is generally smaller; C1 and W discrimination remains near chance</w:t>
            </w:r>
          </w:p>
        </w:tc>
      </w:tr>
      <w:tr>
        <w:tc>
          <w:tcPr>
            <w:tcW w:type="dxa" w:w="2160"/>
          </w:tcPr>
          <w:p>
            <w:pPr>
              <w:spacing w:line="276" w:lineRule="auto"/>
            </w:pPr>
            <w:r>
              <w:t>Need a descriptive flag for internal incoherence</w:t>
            </w:r>
          </w:p>
        </w:tc>
        <w:tc>
          <w:tcPr>
            <w:tcW w:type="dxa" w:w="2160"/>
          </w:tcPr>
          <w:p>
            <w:pPr>
              <w:spacing w:line="276" w:lineRule="auto"/>
            </w:pPr>
            <w:r>
              <w:t xml:space="preserve">Report </w:t>
            </w:r>
            <m:oMath>
              <m:sSub>
                <m:e>
                  <m:r>
                    <m:t xml:space="preserve">C1</m:t>
                  </m:r>
                </m:e>
                <m:sub>
                  <m:r>
                    <m:t xml:space="preserve">excess</m:t>
                  </m:r>
                </m:sub>
              </m:sSub>
            </m:oMath>
            <w:r>
              <w:t xml:space="preserve"> and </w:t>
            </w:r>
            <m:oMath>
              <m:sSub>
                <m:e>
                  <m:r>
                    <m:t xml:space="preserve">W</m:t>
                  </m:r>
                </m:e>
                <m:sub>
                  <m:r>
                    <m:t xml:space="preserve">est excess</m:t>
                  </m:r>
                </m:sub>
              </m:sSub>
            </m:oMath>
            <w:r>
              <w:t xml:space="preserve"> alongside the primary analysis</w:t>
            </w:r>
          </w:p>
        </w:tc>
        <w:tc>
          <w:tcPr>
            <w:tcW w:type="dxa" w:w="2160"/>
          </w:tcPr>
          <w:p>
            <w:pPr>
              <w:spacing w:line="276" w:lineRule="auto"/>
            </w:pPr>
            <w:r>
              <w:t>Empirically calibrated against a no-modification null</w:t>
            </w:r>
          </w:p>
        </w:tc>
        <w:tc>
          <w:tcPr>
            <w:tcW w:type="dxa" w:w="2160"/>
          </w:tcPr>
          <w:p>
            <w:pPr>
              <w:spacing w:line="276" w:lineRule="auto"/>
            </w:pPr>
            <w:r>
              <w:t>Do not use as a standalone inferential test; thresholds are method-specific and DGM-conditional</w:t>
            </w:r>
          </w:p>
        </w:tc>
      </w:tr>
    </w:tbl>
    <w:p>
      <w:pPr>
        <w:spacing w:before="240" w:line="480" w:lineRule="auto"/>
      </w:pPr>
      <w:r/>
      <w:r>
        <w:rPr>
          <w:i/>
        </w:rPr>
        <w:t>Table 5. Recommendations for choosing a stratification method in an IPD meta-analysis sensitivity analysis.</w:t>
      </w:r>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We treat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w:t>
      </w:r>
      <m:oMath>
        <m:sSub>
          <m:e>
            <m:r>
              <m:t xml:space="preserve">C1</m:t>
            </m:r>
          </m:e>
          <m:sub>
            <m:r>
              <m:t xml:space="preserve">excess</m:t>
            </m:r>
          </m:sub>
        </m:sSub>
      </m:oMath>
      <w:r>
        <w:t xml:space="preserve">, </w:t>
      </w:r>
      <m:oMath>
        <m:sSub>
          <m:e>
            <m:r>
              <m:t xml:space="preserve">W</m:t>
            </m:r>
          </m:e>
          <m:sub>
            <m:r>
              <m:t xml:space="preserve">true excess</m:t>
            </m:r>
          </m:sub>
        </m:sSub>
      </m:oMath>
      <w:r>
        <w:t xml:space="preserve">, </w:t>
      </w:r>
      <m:oMath>
        <m:sSub>
          <m:e>
            <m:r>
              <m:t xml:space="preserve">W</m:t>
            </m:r>
          </m:e>
          <m:sub>
            <m:r>
              <m:t xml:space="preserve">est excess</m:t>
            </m:r>
          </m:sub>
        </m:sSub>
      </m:oMath>
      <w:r>
        <w:t xml:space="preserve">).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CSDA readers</w:t>
      </w:r>
    </w:p>
    <w:p>
      <w:pPr>
        <w:spacing w:line="480" w:lineRule="auto"/>
      </w:pPr>
      <w:r>
        <w:t xml:space="preserve">IONE sits between computational stratification diagnostics and model-based effect modification for individual participant data meta-analysis. C1 applies the </w:t>
      </w:r>
      <m:oMath>
        <m:sSup>
          <m:e>
            <m:r>
              <m:t xml:space="preserve">I</m:t>
            </m:r>
          </m:e>
          <m:sup>
            <m:r>
              <m:t xml:space="preserve">2</m:t>
            </m:r>
          </m:sup>
        </m:sSup>
      </m:oMath>
      <w:r>
        <w:t xml:space="preserve"> statistic to discovered strata, and W measures how much CATE variance a partition explains.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 doi: 10.1002/9780470743386</w:t>
      </w:r>
    </w:p>
    <w:p>
      <w:pPr>
        <w:spacing w:line="480" w:lineRule="auto"/>
      </w:pPr>
      <w:r>
        <w:t>2. Riley RD, Lambert PC, Abo-Zaid G. Meta-analysis of individual participant data: rationale, conduct, and reporting. BMJ. 2010;340:c221. doi: 10.1136/bmj.c221</w:t>
      </w:r>
    </w:p>
    <w:p>
      <w:pPr>
        <w:spacing w:line="480" w:lineRule="auto"/>
      </w:pPr>
      <w:r>
        <w:t>3. Simmonds MC, Higgins JPT, Stewart LA, Tierney JF, Clarke MJ, Thompson SG. Meta-analysis of individual patient data from randomized trials: a review of methods used in practice. Clin Trials. 2005;2(3):209–217. doi: 10.1191/1740774505cn087oa</w:t>
      </w:r>
    </w:p>
    <w:p>
      <w:pPr>
        <w:spacing w:line="480" w:lineRule="auto"/>
      </w:pPr>
      <w:r>
        <w:t>4. DerSimonian R, Laird N. Meta-analysis in clinical trials. Control Clin Trials. 1986;7(3):177–188. doi: 10.1016/0197-2456(86)90046-2</w:t>
      </w:r>
    </w:p>
    <w:p>
      <w:pPr>
        <w:spacing w:line="480" w:lineRule="auto"/>
      </w:pPr>
      <w:r>
        <w:t>5. Higgins JPT, Thompson SG. Quantifying heterogeneity in a meta-analysis. Stat Med. 2002;21(11):1539–1558. doi: 10.1002/sim.1186</w:t>
      </w:r>
    </w:p>
    <w:p>
      <w:pPr>
        <w:spacing w:line="480" w:lineRule="auto"/>
      </w:pPr>
      <w:r>
        <w:t>6. Riley RD, Higgins JPT, Deeks JJ. Interpretation of random effects meta-analyses. BMJ. 2011;342:d549.</w:t>
      </w:r>
    </w:p>
    <w:p>
      <w:pPr>
        <w:spacing w:line="480" w:lineRule="auto"/>
      </w:pPr>
      <w:r>
        <w:t>7. Pearl J. Causality. 2nd ed. Cambridge: Cambridge University Press; 2009. doi: 10.1017/cbo9780511803161</w:t>
      </w:r>
    </w:p>
    <w:p>
      <w:pPr>
        <w:spacing w:line="480" w:lineRule="auto"/>
      </w:pPr>
      <w:r>
        <w:t>8. Greenland S, Robins JM, Pearl J. Confounding and collapsibility in causal inference. Stat Sci. 1999;14(1):29–46. doi: 10.1214/ss/1009211805</w:t>
      </w:r>
    </w:p>
    <w:p>
      <w:pPr>
        <w:spacing w:line="480" w:lineRule="auto"/>
      </w:pPr>
      <w:r>
        <w:t>9. Simpson EH. The interpretation of interaction in contingency tables. J R Stat Soc Ser B. 1951;13(2):238–241. doi: 10.1111/j.2517-6161.1951.tb00088.x</w:t>
      </w:r>
    </w:p>
    <w:p>
      <w:pPr>
        <w:spacing w:line="480" w:lineRule="auto"/>
      </w:pPr>
      <w:r>
        <w:t>10. Rojanaworarit C. Misleading epidemiological and statistical evidence in the presence of Simpson's paradox: an illustrative study using simulated scenarios. J Med Life. 2020;13(1):37–44. doi: 10.25122/jml-2019-0120</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Morris TP, White IR, Crowther MJ. Using simulation studies to evaluate statistical methods. Stat Med. 2019;38(11):2074–2102. doi: 10.1002/sim.8086</w:t>
      </w:r>
    </w:p>
    <w:p>
      <w:pPr>
        <w:spacing w:line="480" w:lineRule="auto"/>
      </w:pPr>
      <w:r>
        <w:t>17. Rosenbaum PR, Rubin DB. The central role of the propensity score in observational studies for causal effects. Biometrika. 1983;70(1):41–55. doi: 10.1093/biomet/70.1.41</w:t>
      </w:r>
    </w:p>
    <w:p>
      <w:pPr>
        <w:spacing w:line="480" w:lineRule="auto"/>
      </w:pPr>
      <w:r>
        <w:t>18. McLachlan GJ, Peel D. Finite Mixture Models. New York: Wiley; 2000. doi: 10.1002/0471721182</w:t>
      </w:r>
    </w:p>
    <w:p>
      <w:pPr>
        <w:spacing w:line="480" w:lineRule="auto"/>
      </w:pPr>
      <w:r>
        <w:t>19. Hansen BB. The prognostic analogue of the propensity score. Biometrika. 2008;95(2):481–488. doi: 10.1093/biomet/asn004</w:t>
      </w:r>
    </w:p>
    <w:p>
      <w:pPr>
        <w:spacing w:line="480" w:lineRule="auto"/>
      </w:pPr>
      <w:r>
        <w:t>20. Hubert L, Arabie P. Comparing partitions. J Classif. 1985;2(1):193–218. doi: 10.1007/bf01908075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