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4: Semi-synthetic pseudo-IPD reconstruction</w:t>
      </w:r>
    </w:p>
    <w:p>
      <w:r>
        <w:t xml:space="preserve">The five Simpson-paradox examples were reconstructed from published aggregate tables as pseudo-individual records </w:t>
      </w:r>
      <w:r>
        <w:rPr>
          <w:vertAlign w:val="superscript"/>
        </w:rPr>
        <w:t>1</w:t>
      </w:r>
      <w:r/>
      <w:r>
        <w:rPr>
          <w:vertAlign w:val="superscript"/>
        </w:rPr>
        <w:t>2</w:t>
      </w:r>
      <w:r/>
      <w:r>
        <w:rPr>
          <w:vertAlign w:val="superscript"/>
        </w:rPr>
        <w:t>3</w:t>
      </w:r>
      <w:r/>
      <w:r>
        <w:rPr>
          <w:vertAlign w:val="superscript"/>
        </w:rPr>
        <w:t>4</w:t>
      </w:r>
      <w:r/>
      <w:r>
        <w:rPr>
          <w:vertAlign w:val="superscript"/>
        </w:rPr>
        <w:t>5</w:t>
      </w:r>
      <w:r>
        <w:t>. The reconstruction is deterministic: each cell in the published treatment (or exposure) by outcome table is expanded to the reported number of records, and outcomes are assigned in the exact proportions shown in the source table (the first n_event records in a cell are events, the remainder are non-events). Covariates are obtained by mapping each cell to a representative value (e.g. age midpoint) plus a small amount of random noise so that the marginal distribution approximates the published totals while preserving the deterministic cell sizes.</w:t>
      </w:r>
    </w:p>
    <w:p>
      <w:r>
        <w:t xml:space="preserve">For the Israel vaccination example </w:t>
      </w:r>
      <w:r>
        <w:rPr>
          <w:vertAlign w:val="superscript"/>
        </w:rPr>
        <w:t>4</w:t>
      </w:r>
      <w:r>
        <w:t xml:space="preserve">, the source table in </w:t>
      </w:r>
      <w:r>
        <w:rPr>
          <w:rFonts w:ascii="Courier New" w:hAnsi="Courier New"/>
        </w:rPr>
        <w:t>data/haas_2021_israel_hospitalization_counts.csv</w:t>
      </w:r>
      <w:r>
        <w:t xml:space="preserve"> gives age- and vaccination-stratified population sizes and COVID-19-related hospitalisation counts. Because the full population exceeds six million, we first down-sampled to 100,000 records by stratified random sampling that preserved the age-vaccination cell proportions. Hospitalisation status within each down-sampled cell was then generated by binomial sampling with the observed cell hospitalisation rate followed by deterministic event assignment. The low hospitalisation rate (~0.09% in the down-sampled data) means that several down-sampled cells contain zero or very few events. In such cells, logistic models used by outcome-informed stratification methods were fitted with L2 regularisation, and any degenerate one-class fit was handled by returning the observed cell mean probability. The same deterministic reconstruction and small-cell handling applies to the kidney-stone, Berkeley, smoking and COVID-19 CFR examples.</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Proportion of total CATE variance explained by the stratification</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1C_cv_decision</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1C_cv_decision</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1C_cv_decision</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shows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1C_cv_decision</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1C_cv_decision</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p>
      <w:pPr>
        <w:pStyle w:val="Heading2"/>
      </w:pPr>
      <w:r>
        <w:t>Absolute-deviation diagnostic calibration</w:t>
      </w:r>
    </w:p>
    <w:p>
      <w:r>
        <w:t xml:space="preserve">Table S7 uses absolute distance from the empirical null mean as the diagnostic score, so that neither a lower C1 nor a higher W is assumed a priori. C1 abs-AUC ranged from 0.419 to 0.532 and </w:t>
      </w:r>
      <m:oMath>
        <m:sSub>
          <m:e>
            <m:r>
              <m:t xml:space="preserve">W</m:t>
            </m:r>
          </m:e>
          <m:sub>
            <m:r>
              <m:t xml:space="preserve">est</m:t>
            </m:r>
          </m:sub>
        </m:sSub>
      </m:oMath>
      <w:r>
        <w:t xml:space="preserve"> abs-AUC from 0.470 to 0.589; the residual method's C1 abs-AUC was 0.473. These values remained at or near chance level, showing that the weak one-sided ROC discrimination in Table 4 is not an artifact of the chosen 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abs-AUC</w:t>
            </w:r>
          </w:p>
        </w:tc>
        <w:tc>
          <w:tcPr>
            <w:tcW w:type="dxa" w:w="1728"/>
          </w:tcPr>
          <w:p>
            <w:r>
              <w:rPr>
                <w:b/>
              </w:rPr>
              <w:t>C1 abs TPR@5% FPR</w:t>
            </w:r>
          </w:p>
        </w:tc>
        <w:tc>
          <w:tcPr>
            <w:tcW w:type="dxa" w:w="1728"/>
          </w:tcPr>
          <w:p>
            <m:oMath>
              <m:sSub>
                <m:e>
                  <m:r>
                    <m:t xml:space="preserve">W</m:t>
                  </m:r>
                </m:e>
                <m:sub>
                  <m:r>
                    <m:t xml:space="preserve">est</m:t>
                  </m:r>
                </m:sub>
              </m:sSub>
            </m:oMath>
            <w:r>
              <w:rPr>
                <w:b/>
              </w:rPr>
              <w:t xml:space="preserve"> abs-AUC</w:t>
            </w:r>
          </w:p>
        </w:tc>
        <w:tc>
          <w:tcPr>
            <w:tcW w:type="dxa" w:w="1728"/>
          </w:tcPr>
          <w:p>
            <m:oMath>
              <m:sSub>
                <m:e>
                  <m:r>
                    <m:t xml:space="preserve">W</m:t>
                  </m:r>
                </m:e>
                <m:sub>
                  <m:r>
                    <m:t xml:space="preserve">est</m:t>
                  </m:r>
                </m:sub>
              </m:sSub>
            </m:oMath>
            <w:r>
              <w:rPr>
                <w:b/>
              </w:rPr>
              <w:t xml:space="preserve"> abs TPR@5% FPR</w:t>
            </w:r>
          </w:p>
        </w:tc>
      </w:tr>
      <w:tr>
        <w:tc>
          <w:tcPr>
            <w:tcW w:type="dxa" w:w="1728"/>
          </w:tcPr>
          <w:p>
            <w:r>
              <w:t>1A_predicted_prob</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1B_residual</w:t>
            </w:r>
          </w:p>
        </w:tc>
        <w:tc>
          <w:tcPr>
            <w:tcW w:type="dxa" w:w="1728"/>
          </w:tcPr>
          <w:p>
            <w:r>
              <w:t>0.473</w:t>
            </w:r>
          </w:p>
        </w:tc>
        <w:tc>
          <w:tcPr>
            <w:tcW w:type="dxa" w:w="1728"/>
          </w:tcPr>
          <w:p>
            <w:r>
              <w:t>0.060</w:t>
            </w:r>
          </w:p>
        </w:tc>
        <w:tc>
          <w:tcPr>
            <w:tcW w:type="dxa" w:w="1728"/>
          </w:tcPr>
          <w:p>
            <w:r>
              <w:t>0.519</w:t>
            </w:r>
          </w:p>
        </w:tc>
        <w:tc>
          <w:tcPr>
            <w:tcW w:type="dxa" w:w="1728"/>
          </w:tcPr>
          <w:p>
            <w:r>
              <w:t>0.060</w:t>
            </w:r>
          </w:p>
        </w:tc>
      </w:tr>
      <w:tr>
        <w:tc>
          <w:tcPr>
            <w:tcW w:type="dxa" w:w="1728"/>
          </w:tcPr>
          <w:p>
            <w:r>
              <w:t>1C_cv_decision</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2A_PCA_cum60</w:t>
            </w:r>
          </w:p>
        </w:tc>
        <w:tc>
          <w:tcPr>
            <w:tcW w:type="dxa" w:w="1728"/>
          </w:tcPr>
          <w:p>
            <w:r>
              <w:t>0.530</w:t>
            </w:r>
          </w:p>
        </w:tc>
        <w:tc>
          <w:tcPr>
            <w:tcW w:type="dxa" w:w="1728"/>
          </w:tcPr>
          <w:p>
            <w:r>
              <w:t>0.060</w:t>
            </w:r>
          </w:p>
        </w:tc>
        <w:tc>
          <w:tcPr>
            <w:tcW w:type="dxa" w:w="1728"/>
          </w:tcPr>
          <w:p>
            <w:r>
              <w:t>0.487</w:t>
            </w:r>
          </w:p>
        </w:tc>
        <w:tc>
          <w:tcPr>
            <w:tcW w:type="dxa" w:w="1728"/>
          </w:tcPr>
          <w:p>
            <w:r>
              <w:t>0.060</w:t>
            </w:r>
          </w:p>
        </w:tc>
      </w:tr>
      <w:tr>
        <w:tc>
          <w:tcPr>
            <w:tcW w:type="dxa" w:w="1728"/>
          </w:tcPr>
          <w:p>
            <w:r>
              <w:t>2B_clustering</w:t>
            </w:r>
          </w:p>
        </w:tc>
        <w:tc>
          <w:tcPr>
            <w:tcW w:type="dxa" w:w="1728"/>
          </w:tcPr>
          <w:p>
            <w:r>
              <w:t>0.510</w:t>
            </w:r>
          </w:p>
        </w:tc>
        <w:tc>
          <w:tcPr>
            <w:tcW w:type="dxa" w:w="1728"/>
          </w:tcPr>
          <w:p>
            <w:r>
              <w:t>0.020</w:t>
            </w:r>
          </w:p>
        </w:tc>
        <w:tc>
          <w:tcPr>
            <w:tcW w:type="dxa" w:w="1728"/>
          </w:tcPr>
          <w:p>
            <w:r>
              <w:t>0.470</w:t>
            </w:r>
          </w:p>
        </w:tc>
        <w:tc>
          <w:tcPr>
            <w:tcW w:type="dxa" w:w="1728"/>
          </w:tcPr>
          <w:p>
            <w:r>
              <w:t>0.060</w:t>
            </w:r>
          </w:p>
        </w:tc>
      </w:tr>
      <w:tr>
        <w:tc>
          <w:tcPr>
            <w:tcW w:type="dxa" w:w="1728"/>
          </w:tcPr>
          <w:p>
            <w:r>
              <w:t>GMM</w:t>
            </w:r>
          </w:p>
        </w:tc>
        <w:tc>
          <w:tcPr>
            <w:tcW w:type="dxa" w:w="1728"/>
          </w:tcPr>
          <w:p>
            <w:r>
              <w:t>0.492</w:t>
            </w:r>
          </w:p>
        </w:tc>
        <w:tc>
          <w:tcPr>
            <w:tcW w:type="dxa" w:w="1728"/>
          </w:tcPr>
          <w:p>
            <w:r>
              <w:t>0.060</w:t>
            </w:r>
          </w:p>
        </w:tc>
        <w:tc>
          <w:tcPr>
            <w:tcW w:type="dxa" w:w="1728"/>
          </w:tcPr>
          <w:p>
            <w:r>
              <w:t>0.488</w:t>
            </w:r>
          </w:p>
        </w:tc>
        <w:tc>
          <w:tcPr>
            <w:tcW w:type="dxa" w:w="1728"/>
          </w:tcPr>
          <w:p>
            <w:r>
              <w:t>0.080</w:t>
            </w:r>
          </w:p>
        </w:tc>
      </w:tr>
      <w:tr>
        <w:tc>
          <w:tcPr>
            <w:tcW w:type="dxa" w:w="1728"/>
          </w:tcPr>
          <w:p>
            <w:r>
              <w:t>PS_propensity_score</w:t>
            </w:r>
          </w:p>
        </w:tc>
        <w:tc>
          <w:tcPr>
            <w:tcW w:type="dxa" w:w="1728"/>
          </w:tcPr>
          <w:p>
            <w:r>
              <w:t>0.532</w:t>
            </w:r>
          </w:p>
        </w:tc>
        <w:tc>
          <w:tcPr>
            <w:tcW w:type="dxa" w:w="1728"/>
          </w:tcPr>
          <w:p>
            <w:r>
              <w:t>0.060</w:t>
            </w:r>
          </w:p>
        </w:tc>
        <w:tc>
          <w:tcPr>
            <w:tcW w:type="dxa" w:w="1728"/>
          </w:tcPr>
          <w:p>
            <w:r>
              <w:t>0.485</w:t>
            </w:r>
          </w:p>
        </w:tc>
        <w:tc>
          <w:tcPr>
            <w:tcW w:type="dxa" w:w="1728"/>
          </w:tcPr>
          <w:p>
            <w:r>
              <w:t>0.020</w:t>
            </w:r>
          </w:p>
        </w:tc>
      </w:tr>
      <w:tr>
        <w:tc>
          <w:tcPr>
            <w:tcW w:type="dxa" w:w="1728"/>
          </w:tcPr>
          <w:p>
            <w:r>
              <w:t>Prognostic_score</w:t>
            </w:r>
          </w:p>
        </w:tc>
        <w:tc>
          <w:tcPr>
            <w:tcW w:type="dxa" w:w="1728"/>
          </w:tcPr>
          <w:p>
            <w:r>
              <w:t>0.523</w:t>
            </w:r>
          </w:p>
        </w:tc>
        <w:tc>
          <w:tcPr>
            <w:tcW w:type="dxa" w:w="1728"/>
          </w:tcPr>
          <w:p>
            <w:r>
              <w:t>0.020</w:t>
            </w:r>
          </w:p>
        </w:tc>
        <w:tc>
          <w:tcPr>
            <w:tcW w:type="dxa" w:w="1728"/>
          </w:tcPr>
          <w:p>
            <w:r>
              <w:t>0.589</w:t>
            </w:r>
          </w:p>
        </w:tc>
        <w:tc>
          <w:tcPr>
            <w:tcW w:type="dxa" w:w="1728"/>
          </w:tcPr>
          <w:p>
            <w:r>
              <w:t>0.040</w:t>
            </w:r>
          </w:p>
        </w:tc>
      </w:tr>
      <w:tr>
        <w:tc>
          <w:tcPr>
            <w:tcW w:type="dxa" w:w="1728"/>
          </w:tcPr>
          <w:p>
            <w:r>
              <w:t>baseline_oracle_kmeans</w:t>
            </w:r>
          </w:p>
        </w:tc>
        <w:tc>
          <w:tcPr>
            <w:tcW w:type="dxa" w:w="1728"/>
          </w:tcPr>
          <w:p>
            <w:r>
              <w:t>0.419</w:t>
            </w:r>
          </w:p>
        </w:tc>
        <w:tc>
          <w:tcPr>
            <w:tcW w:type="dxa" w:w="1728"/>
          </w:tcPr>
          <w:p>
            <w:r>
              <w:t>0.000</w:t>
            </w:r>
          </w:p>
        </w:tc>
        <w:tc>
          <w:tcPr>
            <w:tcW w:type="dxa" w:w="1728"/>
          </w:tcPr>
          <w:p>
            <w:r>
              <w:t>0.478</w:t>
            </w:r>
          </w:p>
        </w:tc>
        <w:tc>
          <w:tcPr>
            <w:tcW w:type="dxa" w:w="1728"/>
          </w:tcPr>
          <w:p>
            <w:r>
              <w:t>0.040</w:t>
            </w:r>
          </w:p>
        </w:tc>
      </w:tr>
      <w:tr>
        <w:tc>
          <w:tcPr>
            <w:tcW w:type="dxa" w:w="1728"/>
          </w:tcPr>
          <w:p>
            <w:r>
              <w:t>baseline_oracle_quantile</w:t>
            </w:r>
          </w:p>
        </w:tc>
        <w:tc>
          <w:tcPr>
            <w:tcW w:type="dxa" w:w="1728"/>
          </w:tcPr>
          <w:p>
            <w:r>
              <w:t>0.471</w:t>
            </w:r>
          </w:p>
        </w:tc>
        <w:tc>
          <w:tcPr>
            <w:tcW w:type="dxa" w:w="1728"/>
          </w:tcPr>
          <w:p>
            <w:r>
              <w:t>0.000</w:t>
            </w:r>
          </w:p>
        </w:tc>
        <w:tc>
          <w:tcPr>
            <w:tcW w:type="dxa" w:w="1728"/>
          </w:tcPr>
          <w:p>
            <w:r>
              <w:t>0.538</w:t>
            </w:r>
          </w:p>
        </w:tc>
        <w:tc>
          <w:tcPr>
            <w:tcW w:type="dxa" w:w="1728"/>
          </w:tcPr>
          <w:p>
            <w:r>
              <w:t>0.060</w:t>
            </w:r>
          </w:p>
        </w:tc>
      </w:tr>
      <w:tr>
        <w:tc>
          <w:tcPr>
            <w:tcW w:type="dxa" w:w="1728"/>
          </w:tcPr>
          <w:p>
            <w:r>
              <w:t>baseline_random</w:t>
            </w:r>
          </w:p>
        </w:tc>
        <w:tc>
          <w:tcPr>
            <w:tcW w:type="dxa" w:w="1728"/>
          </w:tcPr>
          <w:p>
            <w:r>
              <w:t>0.460</w:t>
            </w:r>
          </w:p>
        </w:tc>
        <w:tc>
          <w:tcPr>
            <w:tcW w:type="dxa" w:w="1728"/>
          </w:tcPr>
          <w:p>
            <w:r>
              <w:t>0.040</w:t>
            </w:r>
          </w:p>
        </w:tc>
        <w:tc>
          <w:tcPr>
            <w:tcW w:type="dxa" w:w="1728"/>
          </w:tcPr>
          <w:p>
            <w:r>
              <w:t>0.525</w:t>
            </w:r>
          </w:p>
        </w:tc>
        <w:tc>
          <w:tcPr>
            <w:tcW w:type="dxa" w:w="1728"/>
          </w:tcPr>
          <w:p>
            <w:r>
              <w:t>0.040</w:t>
            </w:r>
          </w:p>
        </w:tc>
      </w:tr>
    </w:tbl>
    <w:p>
      <w:pPr>
        <w:spacing w:before="240"/>
      </w:pPr>
      <w:r/>
      <w:r>
        <w:rPr>
          <w:i/>
        </w:rPr>
        <w:t xml:space="preserve">Table S7. Absolute-deviation diagnostic discrimination of C1 and </w:t>
      </w:r>
      <m:oMath>
        <m:sSub>
          <m:e>
            <m:r>
              <m:t xml:space="preserve">W</m:t>
            </m:r>
          </m:e>
          <m:sub>
            <m:r>
              <m:t xml:space="preserve">est</m:t>
            </m:r>
          </m:sub>
        </m:sSub>
      </m:oMath>
      <w:r>
        <w:rPr>
          <w:i/>
        </w:rPr>
        <w:t xml:space="preserve"> against the empirical null distribution (n=2000, K=5, 200 null and 50 alternative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