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IONE: Coherence diagnostics for hidden effect modification in individual participant data meta-analysis</w:t>
      </w:r>
    </w:p>
    <w:p>
      <w:pPr>
        <w:spacing w:line="480" w:lineRule="auto"/>
      </w:pPr>
      <w:r>
        <w:br w:type="page"/>
      </w:r>
    </w:p>
    <w:p>
      <w:pPr>
        <w:pStyle w:val="Heading1"/>
        <w:spacing w:line="480" w:lineRule="auto"/>
      </w:pPr>
      <w:r>
        <w:t>Abstract</w:t>
      </w:r>
    </w:p>
    <w:p>
      <w:pPr>
        <w:spacing w:line="480" w:lineRule="auto"/>
      </w:pPr>
      <w:r/>
      <w:r>
        <w:rPr>
          <w:b/>
        </w:rPr>
        <w:t>Background:</w:t>
      </w:r>
      <w:r>
        <w:t xml:space="preserve"> In individual participant data (IPD) meta-analysis, marginal effect estimates can be biased by hidden effect modifiers. We introduce two coherence diagnostics, C1 and W, and present a reproducible simulation benchmark of seven stratification approaches.</w:t>
      </w:r>
    </w:p>
    <w:p>
      <w:pPr>
        <w:spacing w:line="480" w:lineRule="auto"/>
      </w:pPr>
      <w:r/>
      <w:r>
        <w:rPr>
          <w:b/>
        </w:rPr>
        <w:t>Methods:</w:t>
      </w:r>
      <w:r>
        <w:t xml:space="preserve"> We simulated an IPD meta-analysis with 10 studies and n=2000 participants, binary treatment and outcome, measured covariates carrying traces of an unmeasured modifier, and study-level variation in baseline risk and treatment prevalence. Seven methods—two outcome-informed, two outcome-free, propensity-score, prognostic-score and Gaussian-mixture stratification—were compared; stratum-specific risk differences were synthesised with fixed-effect and DerSimonian-Laird random-effects meta-analysis. We report ARI, C1, W and ATE bias reduction, calibrating the diagnostics against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The residual-based method achieved the largest random-effects ATE bias reduction (from 0.01865 to 0.00816; relative reduction 0.563). Its absolute bias plateaued near 0.00824 (n=500), 0.00852 (n=2000) and 0.00864 (n=10 000), indicating a structural bias floor that persists as sample size increases.</w:t>
      </w:r>
    </w:p>
    <w:p>
      <w:pPr>
        <w:spacing w:line="480" w:lineRule="auto"/>
      </w:pPr>
      <w:r/>
      <w:r>
        <w:rPr>
          <w:b/>
        </w:rPr>
        <w:t>Conclusions:</w:t>
      </w:r>
      <w:r>
        <w:t xml:space="preserve"> IONE is a descriptive sensitivity framework, not an inferential test for hidden effect modification. The benchmark shows that data-driven stratification can reduce marginal ATE bias when measured covariates carry strong traces of hidden effect modification, but C1 and W must be interpreted relative to method-specific empirical nulls and are not standalone decision criteria.</w:t>
      </w:r>
    </w:p>
    <w:p>
      <w:pPr>
        <w:spacing w:line="480" w:lineRule="auto"/>
      </w:pPr>
      <w:r/>
      <w:r>
        <w:rPr>
          <w:b/>
        </w:rPr>
        <w:t>Keywords:</w:t>
      </w:r>
      <w:r>
        <w:t xml:space="preserve"> individual participant data meta-analysis; evidence synthesis; heterogeneity; hidden effect modification; stratification; simulation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aim is not to recover hidden variables, but to flag marginal summaries that may be misleading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use IONE with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coherence within the formed strata; W is a ratio whose denominator is the overall CATE variance and is therefore unstable when the modification signal is weak.</w:t>
      </w:r>
    </w:p>
    <w:p>
      <w:pPr>
        <w:spacing w:line="480" w:lineRule="auto"/>
      </w:pPr>
      <w:r>
        <w:t>Because the finite-sample distributions of discovered-stratum risk differences depend on the unknown joint distribution of unmeasured modifiers and measured covariates, closed-form theoretical comparisons of the competing stratification methods are not available. We therefore use an ADEMP-based simulation benchmark to quantify relative performance and the operating characteristics of C1 and W.</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pStyle w:val="Heading3"/>
        <w:spacing w:line="480" w:lineRule="auto"/>
      </w:pPr>
      <w:r>
        <w:t>Formal definitions</w:t>
      </w:r>
    </w:p>
    <w:p>
      <w:pPr>
        <w:spacing w:line="480" w:lineRule="auto"/>
      </w:pPr>
      <w:r>
        <w:t xml:space="preserve">For a stratification with K strata, let </w:t>
      </w:r>
      <m:oMath>
        <m:sSub>
          <m:e>
            <m:r>
              <m:t xml:space="preserve">θ</m:t>
            </m:r>
          </m:e>
          <m:sub>
            <m:r>
              <m:t xml:space="preserve">k</m:t>
            </m:r>
          </m:sub>
        </m:sSub>
      </m:oMath>
      <w:r>
        <w:t xml:space="preserve"> denote the stratum-specific log odds ratio, </w:t>
      </w:r>
      <m:oMath>
        <m:sSup>
          <m:e>
            <m:r>
              <m:t xml:space="preserve">τ</m:t>
            </m:r>
          </m:e>
          <m:sup>
            <m:r>
              <m:t xml:space="preserve">2</m:t>
            </m:r>
          </m:sup>
        </m:sSup>
      </m:oMath>
      <w:r>
        <w:t xml:space="preserve"> the between-stratum variance, and </w:t>
      </w:r>
      <m:oMath>
        <m:sSub>
          <m:e>
            <m:r>
              <m:t xml:space="preserve">v</m:t>
            </m:r>
          </m:e>
          <m:sub>
            <m:r>
              <m:t xml:space="preserve">w</m:t>
            </m:r>
          </m:sub>
        </m:sSub>
      </m:oMath>
      <w:r>
        <w:t xml:space="preserve"> a typical within-stratum sampling variance. Then</w:t>
      </w:r>
    </w:p>
    <w:p>
      <w:pPr>
        <w:spacing w:line="480" w:lineRule="auto"/>
      </w:pPr>
      <m:oMath>
        <m:r>
          <m:t xml:space="preserve">C1 = 1 - </m:t>
        </m:r>
        <m:sSup>
          <m:e>
            <m:r>
              <m:t xml:space="preserve">I</m:t>
            </m:r>
          </m:e>
          <m:sup>
            <m:r>
              <m:t xml:space="preserve">2</m:t>
            </m:r>
          </m:sup>
        </m:sSup>
        <m:r>
          <m:t xml:space="preserve"> = 1 - </m:t>
        </m:r>
        <m:f>
          <m:num>
            <m:sSup>
              <m:e>
                <m:r>
                  <m:t xml:space="preserve">τ</m:t>
                </m:r>
              </m:e>
              <m:sup>
                <m:r>
                  <m:t xml:space="preserve">2</m:t>
                </m:r>
              </m:sup>
            </m:sSup>
          </m:num>
          <m:den>
            <m:sSup>
              <m:e>
                <m:r>
                  <m:t xml:space="preserve">τ</m:t>
                </m:r>
              </m:e>
              <m:sup>
                <m:r>
                  <m:t xml:space="preserve">2</m:t>
                </m:r>
              </m:sup>
            </m:sSup>
            <m:r>
              <m:t xml:space="preserve"> + </m:t>
            </m:r>
            <m:sSub>
              <m:e>
                <m:r>
                  <m:t xml:space="preserve">v</m:t>
                </m:r>
              </m:e>
              <m:sub>
                <m:r>
                  <m:t xml:space="preserve">w</m:t>
                </m:r>
              </m:sub>
            </m:sSub>
          </m:den>
        </m:f>
      </m:oMath>
      <w:r>
        <w:t xml:space="preserve">,</w:t>
      </w:r>
    </w:p>
    <w:p>
      <w:pPr>
        <w:spacing w:line="480" w:lineRule="auto"/>
      </w:pPr>
      <w:r>
        <w:t xml:space="preserve">where lower C1 indicates greater between-stratum heterogeneity of stratum-specific log odds ratios. For estimated individual CATEs </w:t>
      </w:r>
      <m:oMath>
        <m:r>
          <m:t xml:space="preserve">τ(</m:t>
        </m:r>
        <m:sSub>
          <m:e>
            <m:r>
              <m:t xml:space="preserve">X</m:t>
            </m:r>
          </m:e>
          <m:sub>
            <m:r>
              <m:t xml:space="preserve">i</m:t>
            </m:r>
          </m:sub>
        </m:sSub>
        <m:r>
          <m:t xml:space="preserve">)</m:t>
        </m:r>
      </m:oMath>
      <w:r>
        <w:t xml:space="preserve">, let </w:t>
      </w:r>
      <m:oMath>
        <m:sSub>
          <m:e>
            <m:r>
              <m:t xml:space="preserve">τ</m:t>
            </m:r>
          </m:e>
          <m:sub>
            <m:r>
              <m:t xml:space="preserve">k</m:t>
            </m:r>
          </m:sub>
        </m:sSub>
      </m:oMath>
      <w:r>
        <w:t xml:space="preserve"> be the stratum mean and tau the overall mean. The proportion of total CATE variance explained by the stratification is</w:t>
      </w:r>
    </w:p>
    <w:p>
      <w:pPr>
        <w:spacing w:line="480" w:lineRule="auto"/>
      </w:pPr>
      <m:oMath>
        <m:r>
          <m:t xml:space="preserve">W = </m:t>
        </m:r>
        <m:f>
          <m:num>
            <m:sSub>
              <m:e>
                <m:r>
                  <m:t xml:space="preserve">Σ</m:t>
                </m:r>
              </m:e>
              <m:sub>
                <m:r>
                  <m:t xml:space="preserve">k</m:t>
                </m:r>
              </m:sub>
            </m:sSub>
            <m:r>
              <m:t xml:space="preserve"> </m:t>
            </m:r>
            <m:sSub>
              <m:e>
                <m:r>
                  <m:t xml:space="preserve">n</m:t>
                </m:r>
              </m:e>
              <m:sub>
                <m:r>
                  <m:t xml:space="preserve">k</m:t>
                </m:r>
              </m:sub>
            </m:sSub>
            <m:r>
              <m:t xml:space="preserve"> </m:t>
            </m:r>
            <m:sSup>
              <m:e>
                <m:r>
                  <m:t xml:space="preserve">(</m:t>
                </m:r>
                <m:sSub>
                  <m:e>
                    <m:r>
                      <m:t xml:space="preserve">τ</m:t>
                    </m:r>
                  </m:e>
                  <m:sub>
                    <m:r>
                      <m:t xml:space="preserve">k</m:t>
                    </m:r>
                  </m:sub>
                </m:sSub>
                <m:r>
                  <m:t xml:space="preserve"> - </m:t>
                </m:r>
                <m:r>
                  <m:t xml:space="preserve">τ</m:t>
                </m:r>
                <m:r>
                  <m:t xml:space="preserve">)</m:t>
                </m:r>
              </m:e>
              <m:sup>
                <m:r>
                  <m:t xml:space="preserve">2</m:t>
                </m:r>
              </m:sup>
            </m:sSup>
          </m:num>
          <m:den>
            <m:sSub>
              <m:e>
                <m:r>
                  <m:t xml:space="preserve">Σ</m:t>
                </m:r>
              </m:e>
              <m:sub>
                <m:r>
                  <m:t xml:space="preserve">i</m:t>
                </m:r>
              </m:sub>
            </m:sSub>
            <m:r>
              <m:t xml:space="preserve"> </m:t>
            </m:r>
            <m:sSup>
              <m:e>
                <m:r>
                  <m:t xml:space="preserve">(</m:t>
                </m:r>
                <m:sSub>
                  <m:e>
                    <m:r>
                      <m:t xml:space="preserve">τ</m:t>
                    </m:r>
                  </m:e>
                  <m:sub>
                    <m:r>
                      <m:t xml:space="preserve">i</m:t>
                    </m:r>
                  </m:sub>
                </m:sSub>
                <m:r>
                  <m:t xml:space="preserve"> - </m:t>
                </m:r>
                <m:r>
                  <m:t xml:space="preserve">τ</m:t>
                </m:r>
                <m:r>
                  <m:t xml:space="preserve">)</m:t>
                </m:r>
              </m:e>
              <m:sup>
                <m:r>
                  <m:t xml:space="preserve">2</m:t>
                </m:r>
              </m:sup>
            </m:sSup>
          </m:den>
        </m:f>
      </m:oMath>
      <w:r>
        <w:t xml:space="preserve">,</w:t>
      </w:r>
    </w:p>
    <w:p>
      <w:pPr>
        <w:spacing w:line="480" w:lineRule="auto"/>
      </w:pPr>
      <w:r>
        <w:t>where the numerator is the between-stratum variance weighted by stratum size and the denominator is the total variance of estimated individual CATEs. Both C1 and W are descriptive indices; they flag incoherence but are not inferential tests for hidden effect modification.</w:t>
      </w:r>
    </w:p>
    <w:p>
      <w:pPr>
        <w:spacing w:line="480" w:lineRule="auto"/>
      </w:pPr>
      <w:r/>
      <w:r>
        <w:rPr>
          <w:b/>
        </w:rPr>
        <w:t>ARI</w:t>
      </w:r>
      <w:r>
        <w:t xml:space="preserve"> </w:t>
      </w:r>
      <w:r>
        <w:rPr>
          <w:vertAlign w:val="superscript"/>
        </w:rPr>
        <w:t>20</w:t>
      </w:r>
      <w:r>
        <w:t>: agreement between estimated strata and an operational approximation of the true-Z partition, corrected for chance. Because the true hidden modifier is multidimensional and has no unique clinical representation, the reference partition was formed by k-means clustering of standardised Z-space into K strata. ARI therefore measures how well a method recovers this k-means approximation, not recovery of a clinically validated true subgroup structure. Values near zero indicate chance agreement; the Oracle and true-CATE-quantile references provide computational upper bounds relative to this approximation.</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excess values centred on the empirical null mean (</w:t>
      </w:r>
      <m:oMath>
        <m:sSub>
          <m:e>
            <m:r>
              <m:t xml:space="preserve">C1</m:t>
            </m:r>
          </m:e>
          <m:sub>
            <m:r>
              <m:t xml:space="preserve">excess</m:t>
            </m:r>
          </m:sub>
        </m:sSub>
      </m:oMath>
      <w:r>
        <w:t xml:space="preserve"> and </w:t>
      </w:r>
      <m:oMath>
        <m:sSub>
          <m:e>
            <m:r>
              <m:t xml:space="preserve">W</m:t>
            </m:r>
          </m:e>
          <m:sub>
            <m:r>
              <m:t xml:space="preserve">excess</m:t>
            </m:r>
          </m:sub>
        </m:sSub>
      </m:oMath>
      <w:r>
        <w:t xml:space="preserve">) and include </w:t>
      </w:r>
      <m:oMath>
        <m:sSup>
          <m:e>
            <m:r>
              <m:t xml:space="preserve">η</m:t>
            </m:r>
          </m:e>
          <m:sup>
            <m:r>
              <m:t xml:space="preserve">2</m:t>
            </m:r>
          </m:sup>
        </m:sSup>
      </m:oMath>
      <w:r>
        <w:t xml:space="preserve">, the ratio of between-stratum CATE variance to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spacing w:line="480" w:lineRule="auto"/>
      </w:pPr>
      <w:r>
        <w:t>Practical recipes for real individual participant data</w:t>
      </w:r>
    </w:p>
    <w:p>
      <w:pPr>
        <w:spacing w:line="480" w:lineRule="auto"/>
      </w:pPr>
      <w:r>
        <w:t xml:space="preserve">In real IPD studies the empirical null must be reconstructed because the true no-modification DGM is unknown. We recommend three operational recipes. (1) </w:t>
      </w:r>
      <w:r>
        <w:rPr>
          <w:i/>
        </w:rPr>
        <w:t>Permutation null</w:t>
      </w:r>
      <w:r>
        <w:t xml:space="preserve">: randomly permute the treatment indicator within studies and re-compute C1 and </w:t>
      </w:r>
      <m:oMath>
        <m:sSub>
          <m:e>
            <m:r>
              <m:t xml:space="preserve">W</m:t>
            </m:r>
          </m:e>
          <m:sub>
            <m:r>
              <m:t xml:space="preserve">est</m:t>
            </m:r>
          </m:sub>
        </m:sSub>
      </m:oMath>
      <w:r>
        <w:t xml:space="preserve"> for the chosen stratification. This destroys any true treatment-by-covariate interaction while preserving the covariate distribution and study structure; repeating this B = 200–1000 times yields method-specific null percentiles. (2) </w:t>
      </w:r>
      <w:r>
        <w:rPr>
          <w:i/>
        </w:rPr>
        <w:t>Parametric residual null</w:t>
      </w:r>
      <w:r>
        <w:t xml:space="preserve">: fit the no-modification outcome model Y ~ X + A + study indicators to the data, simulate outcomes from the fitted probabilities, and compute the diagnostics on the simulated data. This null is fast and convenient but relies on the correctness of the main-effects model. (3) </w:t>
      </w:r>
      <w:r>
        <w:rPr>
          <w:i/>
        </w:rPr>
        <w:t>Bootstrap null</w:t>
      </w:r>
      <w:r>
        <w:t xml:space="preserve">: resample participants (or study clusters, when studies are few) with replacement, refit the stratification model, and compute C1 and </w:t>
      </w:r>
      <m:oMath>
        <m:sSub>
          <m:e>
            <m:r>
              <m:t xml:space="preserve">W</m:t>
            </m:r>
          </m:e>
          <m:sub>
            <m:r>
              <m:t xml:space="preserve">est</m:t>
            </m:r>
          </m:sub>
        </m:sSub>
      </m:oMath>
      <w:r>
        <w:t xml:space="preserve"> on each bootstrap sample to obtain a sampling null. The excess diagnostics </w:t>
      </w:r>
      <m:oMath>
        <m:sSub>
          <m:e>
            <m:r>
              <m:t xml:space="preserve">C1</m:t>
            </m:r>
          </m:e>
          <m:sub>
            <m:r>
              <m:t xml:space="preserve">excess</m:t>
            </m:r>
          </m:sub>
        </m:sSub>
      </m:oMath>
      <w:r>
        <w:t xml:space="preserve"> and </w:t>
      </w:r>
      <m:oMath>
        <m:sSub>
          <m:e>
            <m:r>
              <m:t xml:space="preserve">W</m:t>
            </m:r>
          </m:e>
          <m:sub>
            <m:r>
              <m:t xml:space="preserve">est excess</m:t>
            </m:r>
          </m:sub>
        </m:sSub>
      </m:oMath>
      <w:r>
        <w:t xml:space="preserve"> are reported as the observed value minus the mean of the chosen null. We report percentiles in Supplementary Table S5 and recommend cross-checking at least two of the three nulls before interpreting a flag.</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Computational implementation</w:t>
      </w:r>
    </w:p>
    <w:p>
      <w:pPr>
        <w:spacing w:line="480" w:lineRule="auto"/>
      </w:pPr>
      <w:r>
        <w:t xml:space="preserve">All simulations and manuscript generation were implemented in Python using NumPy, SciPy, scikit-learn, pandas, statsmodels and python-docx. The submission package was generated on a Devin-managed VM with 2 vCPUs (INTEL(R) XEON(R) PLATINUM 8559C), 7.8 GB RAM and Python 3.10.12. Pseudo-random numbers were generated with </w:t>
      </w:r>
      <w:r>
        <w:rPr>
          <w:rFonts w:ascii="Courier New" w:hAnsi="Courier New"/>
        </w:rPr>
        <w:t>numpy.random.default_rng</w:t>
      </w:r>
      <w:r>
        <w:t xml:space="preserve">, with independent seeds for each replication and scenario stored in the repository scripts and </w:t>
      </w:r>
      <w:r>
        <w:rPr>
          <w:rFonts w:ascii="Courier New" w:hAnsi="Courier New"/>
        </w:rPr>
        <w:t>results/summary/</w:t>
      </w:r>
      <w:r>
        <w:t xml:space="preserve"> metadata. Stratification used quantile-based equal-frequency bins, k-means clustering (scikit-learn, 10 random initializations, maximum 300 iterations) and Gaussian mixture models (scikit-learn, full covariance, 10 EM initializations, maximum 100 iterations). Logistic regressions were fit with </w:t>
      </w:r>
      <w:r>
        <w:rPr>
          <w:rFonts w:ascii="Courier New" w:hAnsi="Courier New"/>
        </w:rPr>
        <w:t>scikit-learn.linear_model.LogisticRegression</w:t>
      </w:r>
      <w:r>
        <w:t xml:space="preserve"> (L2 penalty, C=1.0, lbfgs solver, maximum 1000 iterations). DerSimonian-Laird random-effects summaries used </w:t>
      </w:r>
      <w:r>
        <w:rPr>
          <w:rFonts w:ascii="Courier New" w:hAnsi="Courier New"/>
        </w:rPr>
        <w:t>statsmodels.stats.meta_analysis</w:t>
      </w:r>
      <w:r>
        <w:t xml:space="preserve">. The primary scenario required approximately 5–10 minutes of wall-clock time on a single modern CPU core; the full benchmark—primary scenario, strata/sample-size/Z-to-X/Z-to-Y sensitivities, 200-replication empirical null, </w:t>
      </w:r>
      <m:oMath>
        <m:sSub>
          <m:e>
            <m:r>
              <m:t xml:space="preserve">W</m:t>
            </m:r>
          </m:e>
          <m:sub>
            <m:r>
              <m:t xml:space="preserve">est</m:t>
            </m:r>
          </m:sub>
        </m:sSub>
      </m:oMath>
      <w:r>
        <w:t xml:space="preserve"> misspecification and semi-synthetic illustrations—completed in approximately 2–3 hours on a single core. Exact dependency versions are pinned in </w:t>
      </w:r>
      <w:r>
        <w:rPr>
          <w:rFonts w:ascii="Courier New" w:hAnsi="Courier New"/>
        </w:rPr>
        <w:t>requirements-lock.txt</w:t>
      </w:r>
      <w:r>
        <w:t xml:space="preserve"> and the code commit used for the submission package is recorded in </w:t>
      </w:r>
      <w:r>
        <w:rPr>
          <w:rFonts w:ascii="Courier New" w:hAnsi="Courier New"/>
        </w:rPr>
        <w:t>results/commit_hash.txt</w:t>
      </w:r>
      <w:r>
        <w:t>.</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w:t>
      </w:r>
      <w:r>
        <w:rPr>
          <w:rFonts w:ascii="Courier New" w:hAnsi="Courier New"/>
        </w:rPr>
        <w:t>generate_summary.py</w:t>
      </w:r>
      <w:r>
        <w:t xml:space="preserve">, </w:t>
      </w:r>
      <w:r>
        <w:rPr>
          <w:rFonts w:ascii="Courier New" w:hAnsi="Courier New"/>
        </w:rPr>
        <w:t>generate_rsm_tables.py</w:t>
      </w:r>
      <w:r>
        <w:t xml:space="preserve"> and </w:t>
      </w:r>
      <w:r>
        <w:rPr>
          <w:rFonts w:ascii="Courier New" w:hAnsi="Courier New"/>
        </w:rPr>
        <w:t>generate_ione_rsm_v3.py</w:t>
      </w:r>
      <w:r>
        <w:t xml:space="preserve"> regenerate all results, figures, tables and submission files in a Python environment with the pinned dependencies.</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operational k-means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w:t>
      </w:r>
      <m:oMath>
        <m:sSub>
          <m:e>
            <m:r>
              <m:t xml:space="preserve">C1</m:t>
            </m:r>
          </m:e>
          <m:sub>
            <m:r>
              <m:t xml:space="preserve">excess</m:t>
            </m:r>
          </m:sub>
        </m:sSub>
      </m:oMath>
      <w:r>
        <w:t xml:space="preserve"> 0.054; </w:t>
      </w:r>
      <m:oMath>
        <m:sSub>
          <m:e>
            <m:r>
              <m:t xml:space="preserve">W</m:t>
            </m:r>
          </m:e>
          <m:sub>
            <m:r>
              <m:t xml:space="preserve">est excess</m:t>
            </m:r>
          </m:sub>
        </m:sSub>
      </m:oMath>
      <w:r>
        <w:t xml:space="preserve">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reduce the component of aggregation bias that is predictable from measured covariates,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C1 and W_est do not provide reliable classification on their own in the primary scenario; they should be used only as descriptive flags calibrated to the empirical null."/>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 C1 and </w:t>
      </w:r>
      <m:oMath>
        <m:sSub>
          <m:e>
            <m:r>
              <m:t xml:space="preserve">W</m:t>
            </m:r>
          </m:e>
          <m:sub>
            <m:r>
              <m:t xml:space="preserve">est</m:t>
            </m:r>
          </m:sub>
        </m:sSub>
      </m:oMath>
      <w:r>
        <w:rPr>
          <w:b/>
        </w:rPr>
        <w:t xml:space="preserve"> do not provide reliable classification on their own in the primary scenario; they should be used only as descriptive flags calibrated to the empirical null.</w:t>
      </w:r>
    </w:p>
    <w:p>
      <w:pPr>
        <w:pStyle w:val="Heading2"/>
        <w:spacing w:line="480" w:lineRule="auto"/>
      </w:pPr>
      <w:r>
        <w:t>CATE variance explained</w:t>
      </w:r>
    </w:p>
    <w:p>
      <w:pPr>
        <w:spacing w:line="480" w:lineRule="auto"/>
      </w:pPr>
      <w:r>
        <w:t xml:space="preserve">Figure 7 shows CATE variance explained (</w:t>
      </w:r>
      <m:oMath>
        <m:sSup>
          <m:e>
            <m:r>
              <m:t xml:space="preserve">η</m:t>
            </m:r>
          </m:e>
          <m:sup>
            <m:r>
              <m:t xml:space="preserve">2</m:t>
            </m:r>
          </m:sup>
        </m:sSup>
      </m:oMath>
      <w:r>
        <w:t xml:space="preserve">,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w:t>
      </w:r>
      <m:oMath>
        <m:sSup>
          <m:e>
            <m:r>
              <m:t xml:space="preserve">η</m:t>
            </m:r>
          </m:e>
          <m:sup>
            <m:r>
              <m:t xml:space="preserve">2</m:t>
            </m:r>
          </m:sup>
        </m:sSup>
      </m:oMath>
      <w:r>
        <w:t xml:space="preserve">,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w:t>
      </w:r>
      <m:oMath>
        <m:sSup>
          <m:e>
            <m:r>
              <m:t xml:space="preserve">η</m:t>
            </m:r>
          </m:e>
          <m:sup>
            <m:r>
              <m:t xml:space="preserve">2</m:t>
            </m:r>
          </m:sup>
        </m:sSup>
      </m:oMath>
      <w:r>
        <w:rPr>
          <w:b/>
        </w:rPr>
        <w:t xml:space="preserve">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Recommendations for method choice</w:t>
      </w:r>
    </w:p>
    <w:p>
      <w:pPr>
        <w:spacing w:line="480" w:lineRule="auto"/>
      </w:pPr>
      <w:r>
        <w:t>Table 5 translates the simulation results into practical guidance. It links scenario characteristics to the method that performed best in the benchmark, states the rationale, and notes the key caveat. The recommendations reflect the patterns in Tables 1–4 and Supplementary Tables S1–S4; they are not derived from a new optimisation and should be treated as heuristics for sensitivity analysis rather than prescriptive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76" w:lineRule="auto"/>
            </w:pPr>
            <w:r>
              <w:rPr>
                <w:b/>
              </w:rPr>
              <w:t>Scenario characteristic</w:t>
            </w:r>
          </w:p>
        </w:tc>
        <w:tc>
          <w:tcPr>
            <w:tcW w:type="dxa" w:w="2160"/>
          </w:tcPr>
          <w:p>
            <w:pPr>
              <w:spacing w:line="276" w:lineRule="auto"/>
            </w:pPr>
            <w:r>
              <w:rPr>
                <w:b/>
              </w:rPr>
              <w:t>Recommended method</w:t>
            </w:r>
          </w:p>
        </w:tc>
        <w:tc>
          <w:tcPr>
            <w:tcW w:type="dxa" w:w="2160"/>
          </w:tcPr>
          <w:p>
            <w:pPr>
              <w:spacing w:line="276" w:lineRule="auto"/>
            </w:pPr>
            <w:r>
              <w:rPr>
                <w:b/>
              </w:rPr>
              <w:t>Rationale</w:t>
            </w:r>
          </w:p>
        </w:tc>
        <w:tc>
          <w:tcPr>
            <w:tcW w:type="dxa" w:w="2160"/>
          </w:tcPr>
          <w:p>
            <w:pPr>
              <w:spacing w:line="276" w:lineRule="auto"/>
            </w:pPr>
            <w:r>
              <w:rPr>
                <w:b/>
              </w:rPr>
              <w:t>Caveat</w:t>
            </w:r>
          </w:p>
        </w:tc>
      </w:tr>
      <w:tr>
        <w:tc>
          <w:tcPr>
            <w:tcW w:type="dxa" w:w="2160"/>
          </w:tcPr>
          <w:p>
            <w:pPr>
              <w:spacing w:line="276" w:lineRule="auto"/>
            </w:pPr>
            <w:r>
              <w:t>Strong covariate trace of a hidden modifier and moderate-to-large sample (n ~ 2000)</w:t>
            </w:r>
          </w:p>
        </w:tc>
        <w:tc>
          <w:tcPr>
            <w:tcW w:type="dxa" w:w="2160"/>
          </w:tcPr>
          <w:p>
            <w:pPr>
              <w:spacing w:line="276" w:lineRule="auto"/>
            </w:pPr>
            <w:r>
              <w:t>Residual-based IONE (1B)</w:t>
            </w:r>
          </w:p>
        </w:tc>
        <w:tc>
          <w:tcPr>
            <w:tcW w:type="dxa" w:w="2160"/>
          </w:tcPr>
          <w:p>
            <w:pPr>
              <w:spacing w:line="276" w:lineRule="auto"/>
            </w:pPr>
            <w:r>
              <w:t xml:space="preserve">Highest random-effects ATE bias reduction and </w:t>
            </w:r>
            <m:oMath>
              <m:sSub>
                <m:e>
                  <m:r>
                    <m:t xml:space="preserve">W</m:t>
                  </m:r>
                </m:e>
                <m:sub>
                  <m:r>
                    <m:t xml:space="preserve">true</m:t>
                  </m:r>
                </m:sub>
              </m:sSub>
            </m:oMath>
            <w:r>
              <w:t xml:space="preserve"> in the primary scenario</w:t>
            </w:r>
          </w:p>
        </w:tc>
        <w:tc>
          <w:tcPr>
            <w:tcW w:type="dxa" w:w="2160"/>
          </w:tcPr>
          <w:p>
            <w:pPr>
              <w:spacing w:line="276" w:lineRule="auto"/>
            </w:pPr>
            <w:r>
              <w:t>Hits a structural bias floor that does not vanish with sample size; requires a correctly specified outcome model with treatment-covariate interactions</w:t>
            </w:r>
          </w:p>
        </w:tc>
      </w:tr>
      <w:tr>
        <w:tc>
          <w:tcPr>
            <w:tcW w:type="dxa" w:w="2160"/>
          </w:tcPr>
          <w:p>
            <w:pPr>
              <w:spacing w:line="276" w:lineRule="auto"/>
            </w:pPr>
            <w:r>
              <w:t>Small sample (n ~ 500) with moderate modification</w:t>
            </w:r>
          </w:p>
        </w:tc>
        <w:tc>
          <w:tcPr>
            <w:tcW w:type="dxa" w:w="2160"/>
          </w:tcPr>
          <w:p>
            <w:pPr>
              <w:spacing w:line="276" w:lineRule="auto"/>
            </w:pPr>
            <w:r>
              <w:t>Residual-based IONE (1B)</w:t>
            </w:r>
          </w:p>
        </w:tc>
        <w:tc>
          <w:tcPr>
            <w:tcW w:type="dxa" w:w="2160"/>
          </w:tcPr>
          <w:p>
            <w:pPr>
              <w:spacing w:line="276" w:lineRule="auto"/>
            </w:pPr>
            <w:r>
              <w:t>Achieved the largest relative bias reduction and the smallest absolute random-effects bias at n = 500</w:t>
            </w:r>
          </w:p>
        </w:tc>
        <w:tc>
          <w:tcPr>
            <w:tcW w:type="dxa" w:w="2160"/>
          </w:tcPr>
          <w:p>
            <w:pPr>
              <w:spacing w:line="276" w:lineRule="auto"/>
            </w:pPr>
            <w:r>
              <w:t>Relative reduction partly reflects large crude bias; residual models can overfit when events are sparse</w:t>
            </w:r>
          </w:p>
        </w:tc>
      </w:tr>
      <w:tr>
        <w:tc>
          <w:tcPr>
            <w:tcW w:type="dxa" w:w="2160"/>
          </w:tcPr>
          <w:p>
            <w:pPr>
              <w:spacing w:line="276" w:lineRule="auto"/>
            </w:pPr>
            <w:r>
              <w:t>Large sample (n ~ 10 000) and strong measured confounding</w:t>
            </w:r>
          </w:p>
        </w:tc>
        <w:tc>
          <w:tcPr>
            <w:tcW w:type="dxa" w:w="2160"/>
          </w:tcPr>
          <w:p>
            <w:pPr>
              <w:spacing w:line="276" w:lineRule="auto"/>
            </w:pPr>
            <w:r>
              <w:t>Prognostic-score or predicted-probability stratification (1A)</w:t>
            </w:r>
          </w:p>
        </w:tc>
        <w:tc>
          <w:tcPr>
            <w:tcW w:type="dxa" w:w="2160"/>
          </w:tcPr>
          <w:p>
            <w:pPr>
              <w:spacing w:line="276" w:lineRule="auto"/>
            </w:pPr>
            <w:r>
              <w:t>Largest relative reductions at n = 10 000 once finite-sample error was small</w:t>
            </w:r>
          </w:p>
        </w:tc>
        <w:tc>
          <w:tcPr>
            <w:tcW w:type="dxa" w:w="2160"/>
          </w:tcPr>
          <w:p>
            <w:pPr>
              <w:spacing w:line="276" w:lineRule="auto"/>
            </w:pPr>
            <w:r>
              <w:t>Residual-based stratification retains the smallest absolute RE bias; relative reductions become noisy when the crude bias is small; method-specific performance still varies</w:t>
            </w:r>
          </w:p>
        </w:tc>
      </w:tr>
      <w:tr>
        <w:tc>
          <w:tcPr>
            <w:tcW w:type="dxa" w:w="2160"/>
          </w:tcPr>
          <w:p>
            <w:pPr>
              <w:spacing w:line="276" w:lineRule="auto"/>
            </w:pPr>
            <w:r>
              <w:t>Outcome model unavailable, misspecified or rare events</w:t>
            </w:r>
          </w:p>
        </w:tc>
        <w:tc>
          <w:tcPr>
            <w:tcW w:type="dxa" w:w="2160"/>
          </w:tcPr>
          <w:p>
            <w:pPr>
              <w:spacing w:line="276" w:lineRule="auto"/>
            </w:pPr>
            <w:r>
              <w:t>Outcome-free methods (PCA or k-means) or prognostic-score stratification</w:t>
            </w:r>
          </w:p>
        </w:tc>
        <w:tc>
          <w:tcPr>
            <w:tcW w:type="dxa" w:w="2160"/>
          </w:tcPr>
          <w:p>
            <w:pPr>
              <w:spacing w:line="276" w:lineRule="auto"/>
            </w:pPr>
            <w:r>
              <w:t>Do not use the outcome for stratification, so avoid degenerate logistic fits and overfitting</w:t>
            </w:r>
          </w:p>
        </w:tc>
        <w:tc>
          <w:tcPr>
            <w:tcW w:type="dxa" w:w="2160"/>
          </w:tcPr>
          <w:p>
            <w:pPr>
              <w:spacing w:line="276" w:lineRule="auto"/>
            </w:pPr>
            <w:r>
              <w:t>ATE bias reduction is generally smaller; C1 and W discrimination remains near chance</w:t>
            </w:r>
          </w:p>
        </w:tc>
      </w:tr>
      <w:tr>
        <w:tc>
          <w:tcPr>
            <w:tcW w:type="dxa" w:w="2160"/>
          </w:tcPr>
          <w:p>
            <w:pPr>
              <w:spacing w:line="276" w:lineRule="auto"/>
            </w:pPr>
            <w:r>
              <w:t>Need a descriptive flag for internal incoherence in real IPD</w:t>
            </w:r>
          </w:p>
        </w:tc>
        <w:tc>
          <w:tcPr>
            <w:tcW w:type="dxa" w:w="2160"/>
          </w:tcPr>
          <w:p>
            <w:pPr>
              <w:spacing w:line="276" w:lineRule="auto"/>
            </w:pPr>
            <w:r>
              <w:t xml:space="preserve">Report </w:t>
            </w:r>
            <m:oMath>
              <m:sSub>
                <m:e>
                  <m:r>
                    <m:t xml:space="preserve">C1</m:t>
                  </m:r>
                </m:e>
                <m:sub>
                  <m:r>
                    <m:t xml:space="preserve">excess</m:t>
                  </m:r>
                </m:sub>
              </m:sSub>
            </m:oMath>
            <w:r>
              <w:t xml:space="preserve"> and </w:t>
            </w:r>
            <m:oMath>
              <m:sSub>
                <m:e>
                  <m:r>
                    <m:t xml:space="preserve">W</m:t>
                  </m:r>
                </m:e>
                <m:sub>
                  <m:r>
                    <m:t xml:space="preserve">est excess</m:t>
                  </m:r>
                </m:sub>
              </m:sSub>
            </m:oMath>
            <w:r>
              <w:t xml:space="preserve">, calibrated against a permutation or residual null</w:t>
            </w:r>
          </w:p>
        </w:tc>
        <w:tc>
          <w:tcPr>
            <w:tcW w:type="dxa" w:w="2160"/>
          </w:tcPr>
          <w:p>
            <w:pPr>
              <w:spacing w:line="276" w:lineRule="auto"/>
            </w:pPr>
            <w:r>
              <w:t>Empirically centred on a no-modification null; use one of the three recipes described in the Methods</w:t>
            </w:r>
          </w:p>
        </w:tc>
        <w:tc>
          <w:tcPr>
            <w:tcW w:type="dxa" w:w="2160"/>
          </w:tcPr>
          <w:p>
            <w:pPr>
              <w:spacing w:line="276" w:lineRule="auto"/>
            </w:pPr>
            <w:r>
              <w:t>Do not use as a standalone inferential test; thresholds are method-specific and DGM-conditional; cross-check at least two nulls</w:t>
            </w:r>
          </w:p>
        </w:tc>
      </w:tr>
    </w:tbl>
    <w:p>
      <w:pPr>
        <w:spacing w:before="240" w:line="480" w:lineRule="auto"/>
      </w:pPr>
      <w:r/>
      <w:r>
        <w:rPr>
          <w:i/>
        </w:rPr>
        <w:t>Table 5. Recommendations for choosing a stratification method in an IPD meta-analysis sensitivity analysis.</w:t>
      </w:r>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We treat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operational k-means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w:t>
      </w:r>
      <m:oMath>
        <m:sSub>
          <m:e>
            <m:r>
              <m:t xml:space="preserve">C1</m:t>
            </m:r>
          </m:e>
          <m:sub>
            <m:r>
              <m:t xml:space="preserve">excess</m:t>
            </m:r>
          </m:sub>
        </m:sSub>
      </m:oMath>
      <w:r>
        <w:t xml:space="preserve">, </w:t>
      </w:r>
      <m:oMath>
        <m:sSub>
          <m:e>
            <m:r>
              <m:t xml:space="preserve">W</m:t>
            </m:r>
          </m:e>
          <m:sub>
            <m:r>
              <m:t xml:space="preserve">true excess</m:t>
            </m:r>
          </m:sub>
        </m:sSub>
      </m:oMath>
      <w:r>
        <w:t xml:space="preserve">, </w:t>
      </w:r>
      <m:oMath>
        <m:sSub>
          <m:e>
            <m:r>
              <m:t xml:space="preserve">W</m:t>
            </m:r>
          </m:e>
          <m:sub>
            <m:r>
              <m:t xml:space="preserve">est excess</m:t>
            </m:r>
          </m:sub>
        </m:sSub>
      </m:oMath>
      <w:r>
        <w:t xml:space="preserve">).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Relevance to CSDA readers</w:t>
      </w:r>
    </w:p>
    <w:p>
      <w:pPr>
        <w:spacing w:line="480" w:lineRule="auto"/>
      </w:pPr>
      <w:r>
        <w:t xml:space="preserve">IONE sits between computational stratification diagnostics and model-based effect modification for individual participant data meta-analysis. C1 applies the </w:t>
      </w:r>
      <m:oMath>
        <m:sSup>
          <m:e>
            <m:r>
              <m:t xml:space="preserve">I</m:t>
            </m:r>
          </m:e>
          <m:sup>
            <m:r>
              <m:t xml:space="preserve">2</m:t>
            </m:r>
          </m:sup>
        </m:sSup>
      </m:oMath>
      <w:r>
        <w:t xml:space="preserve"> statistic to discovered strata, and W measures how much CATE variance a partition explains.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The simulation code, analysis scripts and generated tables are publicly available so readers can reproduce every numerical result.</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csda_supplementary_v1.docx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 doi: 10.1002/9780470743386</w:t>
      </w:r>
    </w:p>
    <w:p>
      <w:pPr>
        <w:spacing w:line="480" w:lineRule="auto"/>
      </w:pPr>
      <w:r>
        <w:t>2. Riley RD, Lambert PC, Abo-Zaid G. Meta-analysis of individual participant data: rationale, conduct, and reporting. BMJ. 2010;340:c221. doi: 10.1136/bmj.c221</w:t>
      </w:r>
    </w:p>
    <w:p>
      <w:pPr>
        <w:spacing w:line="480" w:lineRule="auto"/>
      </w:pPr>
      <w:r>
        <w:t>3. Simmonds MC, Higgins JPT, Stewart LA, Tierney JF, Clarke MJ, Thompson SG. Meta-analysis of individual patient data from randomized trials: a review of methods used in practice. Clin Trials. 2005;2(3):209–217. doi: 10.1191/1740774505cn087oa</w:t>
      </w:r>
    </w:p>
    <w:p>
      <w:pPr>
        <w:spacing w:line="480" w:lineRule="auto"/>
      </w:pPr>
      <w:r>
        <w:t>4. DerSimonian R, Laird N. Meta-analysis in clinical trials. Control Clin Trials. 1986;7(3):177–188. doi: 10.1016/0197-2456(86)90046-2</w:t>
      </w:r>
    </w:p>
    <w:p>
      <w:pPr>
        <w:spacing w:line="480" w:lineRule="auto"/>
      </w:pPr>
      <w:r>
        <w:t>5. Higgins JPT, Thompson SG. Quantifying heterogeneity in a meta-analysis. Stat Med. 2002;21(11):1539–1558. doi: 10.1002/sim.1186</w:t>
      </w:r>
    </w:p>
    <w:p>
      <w:pPr>
        <w:spacing w:line="480" w:lineRule="auto"/>
      </w:pPr>
      <w:r>
        <w:t>6. Riley RD, Higgins JPT, Deeks JJ. Interpretation of random effects meta-analyses. BMJ. 2011;342:d549. doi: 10.1136/bmj.d549</w:t>
      </w:r>
    </w:p>
    <w:p>
      <w:pPr>
        <w:spacing w:line="480" w:lineRule="auto"/>
      </w:pPr>
      <w:r>
        <w:t>7. Pearl J. Causality. 2nd ed. Cambridge: Cambridge University Press; 2009. doi: 10.1017/cbo9780511803161</w:t>
      </w:r>
    </w:p>
    <w:p>
      <w:pPr>
        <w:spacing w:line="480" w:lineRule="auto"/>
      </w:pPr>
      <w:r>
        <w:t>8. Greenland S, Robins JM, Pearl J. Confounding and collapsibility in causal inference. Stat Sci. 1999;14(1):29–46. doi: 10.1214/ss/1009211805</w:t>
      </w:r>
    </w:p>
    <w:p>
      <w:pPr>
        <w:spacing w:line="480" w:lineRule="auto"/>
      </w:pPr>
      <w:r>
        <w:t>9. Simpson EH. The interpretation of interaction in contingency tables. J R Stat Soc Ser B. 1951;13(2):238–241. doi: 10.1111/j.2517-6161.1951.tb00088.x</w:t>
      </w:r>
    </w:p>
    <w:p>
      <w:pPr>
        <w:spacing w:line="480" w:lineRule="auto"/>
      </w:pPr>
      <w:r>
        <w:t>10. Rojanaworarit C. Misleading epidemiological and statistical evidence in the presence of Simpson's paradox: an illustrative study using simulated scenarios. J Med Life. 2020;13(1):37–44. doi: 10.25122/jml-2019-0120</w:t>
      </w:r>
    </w:p>
    <w:p>
      <w:pPr>
        <w:spacing w:line="480" w:lineRule="auto"/>
      </w:pPr>
      <w:r>
        <w:t>11. Charig CR, Webb DR, Payne SR, Wickham JE. Comparison of treatment of renal calculi by open surgery, percutaneous nephrolithotomy, and extracorporeal shockwave lithotripsy. BMJ. 1986;292(6524):879–882. doi: 10.1136/bmj.292.6524.879</w:t>
      </w:r>
    </w:p>
    <w:p>
      <w:pPr>
        <w:spacing w:line="480" w:lineRule="auto"/>
      </w:pPr>
      <w:r>
        <w:t>12. Bickel PJ, Hammel EA, O'Connell JW. Sex bias in graduate admissions: data from Berkeley. Science. 1975;187(4175):398–404. doi: 10.1126/science.187.4175.398</w:t>
      </w:r>
    </w:p>
    <w:p>
      <w:pPr>
        <w:spacing w:line="480" w:lineRule="auto"/>
      </w:pPr>
      <w:r>
        <w:t>13. von Kügelgen J, Gresele L, Schölkopf B. Simpson's paradox in Covid-19 case fatality rates: a mediation analysis of age-related causal effects. IEEE Trans Artif Intell. 2021;2(1):18–27. doi: 10.1109/TAI.2021.3073088</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 doi: 10.1016/S0140-6736(21)00947-8</w:t>
      </w:r>
    </w:p>
    <w:p>
      <w:pPr>
        <w:spacing w:line="480" w:lineRule="auto"/>
      </w:pPr>
      <w:r>
        <w:t>15. Appleton DR, French NR, Vanderpump MP. Ignoring a covariate: an example of Simpson's paradox. Am Stat. 1996;50(4):340–341. doi: 10.1080/00031305.1996.10473563</w:t>
      </w:r>
    </w:p>
    <w:p>
      <w:pPr>
        <w:spacing w:line="480" w:lineRule="auto"/>
      </w:pPr>
      <w:r>
        <w:t>16. Morris TP, White IR, Crowther MJ. Using simulation studies to evaluate statistical methods. Stat Med. 2019;38(11):2074–2102. doi: 10.1002/sim.8086</w:t>
      </w:r>
    </w:p>
    <w:p>
      <w:pPr>
        <w:spacing w:line="480" w:lineRule="auto"/>
      </w:pPr>
      <w:r>
        <w:t>17. Rosenbaum PR, Rubin DB. The central role of the propensity score in observational studies for causal effects. Biometrika. 1983;70(1):41–55. doi: 10.1093/biomet/70.1.41</w:t>
      </w:r>
    </w:p>
    <w:p>
      <w:pPr>
        <w:spacing w:line="480" w:lineRule="auto"/>
      </w:pPr>
      <w:r>
        <w:t>18. McLachlan GJ, Peel D. Finite Mixture Models. New York: Wiley; 2000. doi: 10.1002/0471721182</w:t>
      </w:r>
    </w:p>
    <w:p>
      <w:pPr>
        <w:spacing w:line="480" w:lineRule="auto"/>
      </w:pPr>
      <w:r>
        <w:t>19. Hansen BB. The prognostic analogue of the propensity score. Biometrika. 2008;95(2):481–488. doi: 10.1093/biomet/asn004</w:t>
      </w:r>
    </w:p>
    <w:p>
      <w:pPr>
        <w:spacing w:line="480" w:lineRule="auto"/>
      </w:pPr>
      <w:r>
        <w:t>20. Hubert L, Arabie P. Comparing partitions. J Classif. 1985;2(1):193–218. doi: 10.1007/bf01908075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