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20 August 2026</w:t>
      </w:r>
    </w:p>
    <w:p>
      <w:r>
        <w:t>Drs. Ana Maria Colubi, Erricos Kontoghiorghes and Byeong Park</w:t>
      </w:r>
    </w:p>
    <w:p>
      <w:r>
        <w:t>Co-Editors</w:t>
      </w:r>
    </w:p>
    <w:p>
      <w:r/>
      <w:r>
        <w:rPr>
          <w:i/>
        </w:rPr>
        <w:t>Computational Statistics &amp; Data Analysis</w:t>
      </w:r>
      <w:r/>
    </w:p>
    <w:p>
      <w:r>
        <w:t>Elsevier</w:t>
      </w:r>
    </w:p>
    <w:p>
      <w:r>
        <w:t>Dear Drs. Colubi, Kontoghiorghes and Park:</w:t>
      </w:r>
    </w:p>
    <w:p>
      <w:r>
        <w:t xml:space="preserve">We wish to submit our manuscript, </w:t>
      </w:r>
      <w:r>
        <w:rPr>
          <w:b/>
        </w:rPr>
        <w:t>"Coherence diagnostics for hidden effect modification in individual participant data meta-analysis: IONE (Incoherence-Oriented Neutralisation and Extraction) and a simulation benchmark of stratification approaches,"</w:t>
      </w:r>
      <w:r>
        <w:t xml:space="preserve"> for consideration by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proposes and benchmarks computational diagnostics for a core problem in statistical data analysis: hidden effect modification in individual participant data (IPD) meta-analysis. The proposed C1 and W statistics quantify between- and within-stratum treatment-effect heterogeneity, and the simulation systematically compares stratification approaches, including propensity-score stratification, prognostic-score stratification, Gaussian mixture models, outcome-residual stratification and clustering. Because the sampling distributions of discovered-stratum estimators depend on the unknown joint distribution of unmeasured modifiers and observed covariates, closed-form theoretical comparisons of the stratification methods are not available; the simulation benchmark is therefore necessary to quantify relative performance. All numerical results are produced by a reproducible computational pipeline and are publicly available. We therefore believe the work will be of interest to the readership of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pPr>
        <w:spacing w:before="240"/>
      </w:pPr>
      <w:r/>
      <w:r>
        <w:rPr>
          <w:b/>
        </w:rPr>
        <w:t>Figures.</w:t>
      </w:r>
      <w:r>
        <w:t xml:space="preserve"> Figures 1–7 were prepared in colour and are intended for colour reproduction in the online and print editions of the journal.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