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Coherence diagnostics (C1 and W) for hidden effect modification in individual participant data meta-analysis: the IONE framework and a simulation study</w:t>
      </w:r>
    </w:p>
    <w:p>
      <w:r>
        <w:br w:type="page"/>
      </w:r>
    </w:p>
    <w:p>
      <w:pPr>
        <w:pStyle w:val="Heading1"/>
      </w:pPr>
      <w:r>
        <w:t>Abstract</w:t>
      </w:r>
    </w:p>
    <w:p>
      <w:r/>
      <w:r>
        <w:rPr>
          <w:b/>
        </w:rPr>
        <w:t>Background:</w:t>
      </w:r>
      <w:r>
        <w:t xml:space="preserve"> In IPD meta-analysis, marginal treatment-effect estimates can be biased when hidden effect modifiers are ignored. We propose two coherence diagnostics, C1 (between-stratum heterogeneity) and W (within-stratum homogeneity), and evaluate them within Incoherence-Oriented Neutralisation and Extraction (IONE), an exploratory diagnostic framework for hidden effect modification.</w:t>
      </w:r>
    </w:p>
    <w:p>
      <w:r/>
      <w:r>
        <w:rPr>
          <w:b/>
        </w:rPr>
        <w:t>Methods:</w:t>
      </w:r>
      <w:r>
        <w:t xml:space="preserve"> We simulated an IPD meta-analysis with 10 studies, a binary treatment and outcome, measured covariates carrying traces of an unmeasured modifier, and study-level variation in baseline risk and treatment prevalence. Proposed and comparator methods stratified the pooled IPD; stratum-specific risk differences were synthesised with fixed-effect and DerSimonian-Laird random-effects meta-analysis. We report ARI, C1, </w:t>
      </w:r>
      <m:oMath>
        <m:sSub>
          <m:e>
            <m:r>
              <m:t xml:space="preserve">W</m:t>
            </m:r>
          </m:e>
          <m:sub>
            <m:r>
              <m:t xml:space="preserve">true</m:t>
            </m:r>
          </m:sub>
        </m:sSub>
      </m:oMath>
      <w:r>
        <w:t xml:space="preserve">/</w:t>
      </w:r>
      <m:oMath>
        <m:sSub>
          <m:e>
            <m:r>
              <m:t xml:space="preserve">W</m:t>
            </m:r>
          </m:e>
          <m:sub>
            <m:r>
              <m:t xml:space="preserve">est</m:t>
            </m:r>
          </m:sub>
        </m:sSub>
      </m:oMath>
      <w:r>
        <w:t xml:space="preserve"> and ATE bias reduction with Monte Carlo standard errors, and we examined the empirical null distribution of the diagnostics and the sensitivity of </w:t>
      </w:r>
      <m:oMath>
        <m:sSub>
          <m:e>
            <m:r>
              <m:t xml:space="preserve">W</m:t>
            </m:r>
          </m:e>
          <m:sub>
            <m:r>
              <m:t xml:space="preserve">est</m:t>
            </m:r>
          </m:sub>
        </m:sSub>
      </m:oMath>
      <w:r>
        <w:t xml:space="preserve"> to outcome-model misspecification.</w:t>
      </w:r>
    </w:p>
    <w:p>
      <w:r/>
      <w:r>
        <w:rPr>
          <w:b/>
        </w:rPr>
        <w:t>Results:</w:t>
      </w:r>
      <w:r>
        <w:t xml:space="preserve"> In the primary scenario (n=2000, 10 studies, K=5 strata), the best method by ATE bias reduction was 1B_residual (ARI 0.032; C1 0.927; </w:t>
      </w:r>
      <m:oMath>
        <m:sSub>
          <m:e>
            <m:r>
              <m:t xml:space="preserve">W</m:t>
            </m:r>
          </m:e>
          <m:sub>
            <m:r>
              <m:t xml:space="preserve">true</m:t>
            </m:r>
          </m:sub>
        </m:sSub>
      </m:oMath>
      <w:r>
        <w:t xml:space="preserve"> 0.363; </w:t>
      </w:r>
      <m:oMath>
        <m:sSub>
          <m:e>
            <m:r>
              <m:t xml:space="preserve">W</m:t>
            </m:r>
          </m:e>
          <m:sub>
            <m:r>
              <m:t xml:space="preserve">est</m:t>
            </m:r>
          </m:sub>
        </m:sSub>
      </m:oMath>
      <w:r>
        <w:t xml:space="preserve"> 0.078). Crude ATE bias was 0.01865; stratification reduced it to 0.01345 (relative 0.279) and random-effects pooling to 0.00816 (relative 0.563). Diagnostic recovery of the true hidden structure remained modest. Under the null of no true effect modification, C1 and </w:t>
      </w:r>
      <m:oMath>
        <m:sSub>
          <m:e>
            <m:r>
              <m:t xml:space="preserve">W</m:t>
            </m:r>
          </m:e>
          <m:sub>
            <m:r>
              <m:t xml:space="preserve">est</m:t>
            </m:r>
          </m:sub>
        </m:sSub>
      </m:oMath>
      <w:r>
        <w:t xml:space="preserve"> were distributed close to their chance-reference values; a main-effects outcome model inflated </w:t>
      </w:r>
      <m:oMath>
        <m:sSub>
          <m:e>
            <m:r>
              <m:t xml:space="preserve">W</m:t>
            </m:r>
          </m:e>
          <m:sub>
            <m:r>
              <m:t xml:space="preserve">est</m:t>
            </m:r>
          </m:sub>
        </m:sSub>
      </m:oMath>
      <w:r>
        <w:t xml:space="preserve">, whereas the default interaction model was robust. Sensitivity analyses showed that bias reduction depends most on sample size and effect-modification strength, and the diagnostics remained informative under non-linear covariate mappings.</w:t>
      </w:r>
    </w:p>
    <w:p>
      <w:r/>
      <w:r>
        <w:rPr>
          <w:b/>
        </w:rPr>
        <w:t>Conclusions:</w:t>
      </w:r>
      <w:r>
        <w:t xml:space="preserve"> IONE is a transparent diagnostic flag for hidden effect modification in IPD meta-analyses. It should be reported alongside conventional models and covariate adjustment, not used as a replacement for rigorous causal inference.</w:t>
      </w:r>
    </w:p>
    <w:p>
      <w:r/>
      <w:r>
        <w:rPr>
          <w:b/>
        </w:rPr>
        <w:t>Keywords:</w:t>
      </w:r>
      <w:r>
        <w:t xml:space="preserve"> individual participant data meta-analysis; evidence synthesis; heterogeneity; hidden effect modification; stratification</w:t>
      </w:r>
    </w:p>
    <w:p>
      <w:r>
        <w:br w:type="page"/>
      </w:r>
    </w:p>
    <w:p>
      <w:pPr>
        <w:pStyle w:val="Heading1"/>
      </w:pPr>
      <w:r>
        <w:t>1. Introduction</w:t>
      </w:r>
    </w:p>
    <w:p>
      <w:r>
        <w:t xml:space="preserve">Meta-analysis pools treatment-effect estimates across studies and is central to evidence-based medicine </w:t>
      </w:r>
      <w:r>
        <w:rPr>
          <w:vertAlign w:val="superscript"/>
        </w:rPr>
        <w:t>[1]</w:t>
      </w:r>
      <w:r>
        <w:t xml:space="preserve">. IPD meta-analysis preserves participant-level covariates and can improve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miss effect modifiers that are unmeasured or omitted </w:t>
      </w:r>
      <w:r>
        <w:rPr>
          <w:vertAlign w:val="superscript"/>
        </w:rPr>
        <w:t>[7]</w:t>
      </w:r>
      <w:r/>
      <w:r>
        <w:rPr>
          <w:vertAlign w:val="superscript"/>
        </w:rPr>
        <w:t>[8]</w:t>
      </w:r>
      <w:r>
        <w:t xml:space="preserve">. When the pooled population is a mixture of subgroups with different treatment effects, the marginal effect can reverse or mislead within strata, producing Simpson-type paradoxes </w:t>
      </w:r>
      <w:r>
        <w:rPr>
          <w:vertAlign w:val="superscript"/>
        </w:rPr>
        <w:t>[9]</w:t>
      </w:r>
      <w:r/>
      <w:r>
        <w:rPr>
          <w:vertAlign w:val="superscript"/>
        </w:rPr>
        <w:t>[10]</w:t>
      </w:r>
      <w:r>
        <w:t>.</w:t>
      </w:r>
    </w:p>
    <w:p>
      <w:r>
        <w:t>IPD meta-analysis offers subgroup analyses, meta-regression and one-stage mixed models, but these explain heterogeneity through measured covariates and study-level factors. They do not test whether the pooled participants themselves form internally homogeneous subpopulations with respect to the treatment effect. We therefore frame Incoherence-Oriented Neutralisation and Extraction (IONE) as an exploratory diagnostic: it flags when a marginal summary may be fragile and, when incoherence is indicated, extracts more homogeneous subgroups from multivariate patterns in measured variables. "Neutralisation" means reducing the misleading influence of a marginal summary by separating it into coherent subpopulations.</w:t>
      </w:r>
    </w:p>
    <w:p>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vaccination-effectiveness evaluations </w:t>
      </w:r>
      <w:r>
        <w:rPr>
          <w:vertAlign w:val="superscript"/>
        </w:rPr>
        <w:t>[14]</w:t>
      </w:r>
      <w:r>
        <w:t xml:space="preserve">, and smoking-mortality studies </w:t>
      </w:r>
      <w:r>
        <w:rPr>
          <w:vertAlign w:val="superscript"/>
        </w:rPr>
        <w:t>[15]</w:t>
      </w:r>
      <w:r>
        <w:t xml:space="preserve">. Established methods—propensity scores </w:t>
      </w:r>
      <w:r>
        <w:rPr>
          <w:vertAlign w:val="superscript"/>
        </w:rPr>
        <w:t>[16]</w:t>
      </w:r>
      <w:r>
        <w:t xml:space="preserve">, prognostic scores </w:t>
      </w:r>
      <w:r>
        <w:rPr>
          <w:vertAlign w:val="superscript"/>
        </w:rPr>
        <w:t>[17]</w:t>
      </w:r>
      <w:r>
        <w:t xml:space="preserve">, disease-risk scores </w:t>
      </w:r>
      <w:r>
        <w:rPr>
          <w:vertAlign w:val="superscript"/>
        </w:rPr>
        <w:t>[18]</w:t>
      </w:r>
      <w:r>
        <w:t xml:space="preserve">, instrumental variables </w:t>
      </w:r>
      <w:r>
        <w:rPr>
          <w:vertAlign w:val="superscript"/>
        </w:rPr>
        <w:t>[19]</w:t>
      </w:r>
      <w:r>
        <w:t xml:space="preserve"> and high-dimensional propensity scores </w:t>
      </w:r>
      <w:r>
        <w:rPr>
          <w:vertAlign w:val="superscript"/>
        </w:rPr>
        <w:t>[20]</w:t>
      </w:r>
      <w:r>
        <w:t xml:space="preserve">—adjust for measured confounders but do not detect unmeasured population structure. Proximal causal inference and latent-class models use proxy variables </w:t>
      </w:r>
      <w:r>
        <w:rPr>
          <w:vertAlign w:val="superscript"/>
        </w:rPr>
        <w:t>[21]</w:t>
      </w:r>
      <w:r/>
      <w:r>
        <w:rPr>
          <w:vertAlign w:val="superscript"/>
        </w:rPr>
        <w:t>[22]</w:t>
      </w:r>
      <w:r>
        <w:t xml:space="preserve"> but do not report a transparent between-stratum heterogeneity diagnostic. We operationalise IONE through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CATE variance explained by the stratification. Stratum-specific risk differences are synthesised with fixed-effect or DerSimonian-Laird random-effects meta-analysis.</w:t>
      </w:r>
    </w:p>
    <w:p>
      <w:pPr>
        <w:pStyle w:val="Heading1"/>
      </w:pPr>
      <w:r>
        <w:t>2. Methods</w:t>
      </w:r>
    </w:p>
    <w:p>
      <w:r>
        <w:t xml:space="preserve">This simulation study follows the ADEMP framework </w:t>
      </w:r>
      <w:r>
        <w:rPr>
          <w:vertAlign w:val="superscript"/>
        </w:rPr>
        <w:t>[23]</w:t>
      </w:r>
      <w:r>
        <w:t>.</w:t>
      </w:r>
    </w:p>
    <w:p>
      <w:pPr>
        <w:pStyle w:val="Heading2"/>
      </w:pPr>
      <w:r>
        <w:t>Aims</w:t>
      </w:r>
    </w:p>
    <w:p>
      <w:r>
        <w:t>Evaluate whether stratification of pooled IPD can recover hidden subgroup structure; compare outcome-informed IONE methods with outcome-free and established comparators; assess whether C1 and W diagnose hidden effect modification; quantify ATE bias reduction from fixed-effect and DerSimonian-Laird random-effects synthesis of stratum-specific risk differences; and identify data-generating conditions under which the diagnostics are most informative.</w:t>
      </w:r>
    </w:p>
    <w:p>
      <w:pPr>
        <w:pStyle w:val="Heading2"/>
      </w:pPr>
      <w:r>
        <w:t>IPD data-generating mechanism</w:t>
      </w:r>
    </w:p>
    <w:p>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pPr>
      <w:r>
        <w:t>Stratification methods</w:t>
      </w:r>
    </w:p>
    <w:p>
      <w:r/>
      <w:r>
        <w:rPr>
          <w:b/>
        </w:rPr>
        <w:t>Proposed Family 1 (outcome-informed).</w:t>
      </w:r>
      <w:r>
        <w:t xml:space="preserve"> Method 1A: predicted probability of Y from logistic Y~X, stratified by quantiles. Method 1B: absolute residual from the same model. Method 1C: K-fold cross-validated predictions before stratification.</w:t>
      </w:r>
    </w:p>
    <w:p>
      <w:r/>
      <w:r>
        <w:rPr>
          <w:b/>
        </w:rPr>
        <w:t>Proposed Family 2 (outcome-free).</w:t>
      </w:r>
      <w:r>
        <w:t xml:space="preserve"> Method 2A: first principal component of standardised X. Method 2B: K-means on standardised X.</w:t>
      </w:r>
    </w:p>
    <w:p>
      <w:r/>
      <w:r>
        <w:rPr>
          <w:b/>
        </w:rPr>
        <w:t>Comparators and baselines.</w:t>
      </w:r>
      <w:r>
        <w:t xml:space="preserve"> Propensity-score quintiles </w:t>
      </w:r>
      <w:r>
        <w:rPr>
          <w:vertAlign w:val="superscript"/>
        </w:rPr>
        <w:t>[16]</w:t>
      </w:r>
      <w:r>
        <w:t xml:space="preserve">, Gaussian mixture model on X </w:t>
      </w:r>
      <w:r>
        <w:rPr>
          <w:vertAlign w:val="superscript"/>
        </w:rPr>
        <w:t>[22]</w:t>
      </w:r>
      <w:r>
        <w:t xml:space="preserve">, prognostic-score stratification (untreated-only Y~X) </w:t>
      </w:r>
      <w:r>
        <w:rPr>
          <w:vertAlign w:val="superscript"/>
        </w:rPr>
        <w:t>[17]</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pPr>
      <w:r>
        <w:t>Synthesis of stratum-specific effects</w:t>
      </w:r>
    </w:p>
    <w:p>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Neutralisation</w:t>
      </w:r>
      <w:r>
        <w:t xml:space="preserve"> reduces the misleading influence of a marginal summary by extracting coherent subpopulations.</w:t>
      </w:r>
    </w:p>
    <w:p>
      <w:r>
        <w:t xml:space="preserve">Three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 C1 is computed from stratum-specific log odds ratios while ATE bias is on the risk-difference scale, so C1 is an indirect diagnostic.</w:t>
      </w:r>
    </w:p>
    <w:p>
      <w:pPr>
        <w:pStyle w:val="Heading2"/>
      </w:pPr>
      <w:r>
        <w:t>Evaluation metrics</w:t>
      </w:r>
    </w:p>
    <w:p>
      <w:r/>
      <w:r>
        <w:rPr>
          <w:b/>
        </w:rPr>
        <w:t>ARI</w:t>
      </w:r>
      <w:r>
        <w:t xml:space="preserve"> </w:t>
      </w:r>
      <w:r>
        <w:rPr>
          <w:vertAlign w:val="superscript"/>
        </w:rPr>
        <w:t>[24]</w:t>
      </w:r>
      <w:r>
        <w:t xml:space="preserve">: agreement between estimated strata and a true-Z partition, corrected for chance. </w:t>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xml:space="preserve">; lower C1 indicates stronger between-stratum heterogeneity. </w:t>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CATE variance explained by the stratification; </w:t>
      </w:r>
      <m:oMath>
        <m:sSub>
          <m:e>
            <m:r>
              <m:t xml:space="preserve">W</m:t>
            </m:r>
          </m:e>
          <m:sub>
            <m:r>
              <m:t xml:space="preserve">est</m:t>
            </m:r>
          </m:sub>
        </m:sSub>
      </m:oMath>
      <w:r>
        <w:t xml:space="preserve"> requires a correctly specified outcome model. </w:t>
      </w:r>
      <w:r>
        <w:rPr>
          <w:b/>
        </w:rPr>
        <w:t>ATE bias reduction:</w:t>
      </w:r>
      <w:r>
        <w:t xml:space="preserve"> absolute differences between crude, stratified and random-effects estimates, plus relative ratios. Monte Carlo SE and 95% CI accompany every mean. The true-Z partition is a k-means clustering of standardised Z-space with K strata.</w:t>
      </w:r>
    </w:p>
    <w:p>
      <w:pPr>
        <w:pStyle w:val="Heading2"/>
      </w:pPr>
      <w:r>
        <w:t xml:space="preserve">Empirical null distribution of C1 and </w:t>
      </w:r>
      <m:oMath>
        <m:sSub>
          <m:e>
            <m:r>
              <m:t xml:space="preserve">W</m:t>
            </m:r>
          </m:e>
          <m:sub>
            <m:r>
              <m:t xml:space="preserve">est</m:t>
            </m:r>
          </m:sub>
        </m:sSub>
      </m:oMath>
    </w:p>
    <w:p>
      <w:r>
        <w:t xml:space="preserve">We ran 200 additional replications under the primary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Supplementary Table S5. Values below the 5th percentile (C1) or above the 95th percentile (</w:t>
      </w:r>
      <m:oMath>
        <m:sSub>
          <m:e>
            <m:r>
              <m:t xml:space="preserve">W</m:t>
            </m:r>
          </m:e>
          <m:sub>
            <m:r>
              <m:t xml:space="preserve">est</m:t>
            </m:r>
          </m:sub>
        </m:sSub>
      </m:oMath>
      <w:r>
        <w:t xml:space="preserve">) provide conservative method-specific thresholds for flagging incoherence.</w:t>
      </w:r>
    </w:p>
    <w:p>
      <w:pPr>
        <w:pStyle w:val="Heading2"/>
      </w:pPr>
      <m:oMath>
        <m:sSub>
          <m:e>
            <m:r>
              <m:t xml:space="preserve">W</m:t>
            </m:r>
          </m:e>
          <m:sub>
            <m:r>
              <m:t xml:space="preserve">est</m:t>
            </m:r>
          </m:sub>
        </m:sSub>
      </m:oMath>
      <w:r>
        <w:t xml:space="preserve"> outcome-model misspecification sensitivity</w:t>
      </w:r>
    </w:p>
    <w:p>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in Supplementary Table S6.</w:t>
      </w:r>
    </w:p>
    <w:p>
      <w:pPr>
        <w:pStyle w:val="Heading2"/>
      </w:pPr>
      <w:r>
        <w:t>Semi-synthetic illustrations</w:t>
      </w:r>
    </w:p>
    <w:p>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dashboard-derived counts reported in a data-analysis blog post by Morris </w:t>
      </w:r>
      <w:r>
        <w:rPr>
          <w:vertAlign w:val="superscript"/>
        </w:rPr>
        <w:t>[14]</w:t>
      </w:r>
      <w:r>
        <w:t xml:space="preserve">, with conceptual interpretation supported by a peer-reviewed commentary by the same author </w:t>
      </w:r>
      <w:r>
        <w:rPr>
          <w:vertAlign w:val="superscript"/>
        </w:rPr>
        <w:t>[25]</w:t>
      </w:r>
      <w:r>
        <w:t>. Pseudo-general variables mimicked proxies of the known confounder and K was chosen from {2, 3, min(K_true,4), K_true} as the value maximising ARI. These are illustrations, not real-IPD validation.</w:t>
      </w:r>
    </w:p>
    <w:p>
      <w:pPr>
        <w:pStyle w:val="Heading2"/>
      </w:pPr>
      <w:r>
        <w:t>Reporting and reproducibility</w:t>
      </w:r>
    </w:p>
    <w:p>
      <w:r>
        <w:t xml:space="preserve">The design followed ADEMP </w:t>
      </w:r>
      <w:r>
        <w:rPr>
          <w:vertAlign w:val="superscript"/>
        </w:rPr>
        <w:t>[23]</w:t>
      </w:r>
      <w:r>
        <w:t xml:space="preserve">; checklists are in Additional files 2 and 3. The pipeline is version-controlled and every manuscript number is read from repository CSV outputs. Simulations used Python 3.11; the exact dependency versions are in </w:t>
      </w:r>
      <w:r>
        <w:rPr>
          <w:rFonts w:ascii="Courier New" w:hAnsi="Courier New"/>
        </w:rPr>
        <w:t>requirements-lock.txt</w:t>
      </w:r>
      <w:r>
        <w:t xml:space="preserve"> and the commit hash used for the submission package is in </w:t>
      </w:r>
      <w:r>
        <w:rPr>
          <w:rFonts w:ascii="Courier New" w:hAnsi="Courier New"/>
        </w:rPr>
        <w:t>results/commit_hash.txt</w:t>
      </w:r>
      <w:r>
        <w:t>.</w:t>
      </w:r>
    </w:p>
    <w:p>
      <w:pPr>
        <w:pStyle w:val="Heading1"/>
      </w:pPr>
      <w:r>
        <w:t>3. Results</w:t>
      </w:r>
    </w:p>
    <w:p>
      <w:pPr>
        <w:pStyle w:val="Heading2"/>
      </w:pPr>
      <w:r>
        <w:t>Primary IPD scenario</w:t>
      </w:r>
    </w:p>
    <w:p>
      <w:r>
        <w:t xml:space="preserve">Table 1 reports the primary scenario (n=2000, 10 studies, K=5). Recovery of the true hidden structure was modest (Oracle ARI 0.372; best non-Oracle 1B_residual 0.032). Methods closer to the Oracle had C1 nearer to 1 and higher W, while random stratification yielded C1 0.883;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bias reduction was for 1B_residual: crude 0.01865, stratified 0.01345 (relative 0.279) and random-effects 0.00816 (relative 0.563). For comparison, random-effects pooling across the true study identifiers (i.e. a study-level meta-analysis) gave an absolute ATE bias of 0.01568 (reduction 0.00296 from crude 0.01865). Pooling strata with DerSimonian-Laird improved over the fixed-effect summary, showing that stratum-specific effects should be allowed to vary.</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Method</w:t>
            </w:r>
          </w:p>
        </w:tc>
        <w:tc>
          <w:tcPr>
            <w:tcW w:type="dxa" w:w="785"/>
          </w:tcPr>
          <w:p>
            <w:r>
              <w:rPr>
                <w:b/>
              </w:rPr>
              <w:t>ARI</w:t>
            </w:r>
          </w:p>
        </w:tc>
        <w:tc>
          <w:tcPr>
            <w:tcW w:type="dxa" w:w="785"/>
          </w:tcPr>
          <w:p>
            <w:r>
              <w:rPr>
                <w:b/>
              </w:rPr>
              <w:t>C1</w:t>
            </w:r>
          </w:p>
        </w:tc>
        <w:tc>
          <w:tcPr>
            <w:tcW w:type="dxa" w:w="785"/>
          </w:tcPr>
          <w:p>
            <m:oMath>
              <m:sSub>
                <m:e>
                  <m:r>
                    <m:t xml:space="preserve">W</m:t>
                  </m:r>
                </m:e>
                <m:sub>
                  <m:r>
                    <m:t xml:space="preserve">true</m:t>
                  </m:r>
                </m:sub>
              </m:sSub>
            </m:oMath>
          </w:p>
        </w:tc>
        <w:tc>
          <w:tcPr>
            <w:tcW w:type="dxa" w:w="785"/>
          </w:tcPr>
          <w:p>
            <m:oMath>
              <m:sSub>
                <m:e>
                  <m:r>
                    <m:t xml:space="preserve">W</m:t>
                  </m:r>
                </m:e>
                <m:sub>
                  <m:r>
                    <m:t xml:space="preserve">est</m:t>
                  </m:r>
                </m:sub>
              </m:sSub>
            </m:oMath>
          </w:p>
        </w:tc>
        <w:tc>
          <w:tcPr>
            <w:tcW w:type="dxa" w:w="785"/>
          </w:tcPr>
          <w:p>
            <w:r>
              <w:rPr>
                <w:b/>
              </w:rPr>
              <w:t>Crude bias</w:t>
            </w:r>
          </w:p>
        </w:tc>
        <w:tc>
          <w:tcPr>
            <w:tcW w:type="dxa" w:w="785"/>
          </w:tcPr>
          <w:p>
            <w:r>
              <w:rPr>
                <w:b/>
              </w:rPr>
              <w:t>Stratified bias</w:t>
            </w:r>
          </w:p>
        </w:tc>
        <w:tc>
          <w:tcPr>
            <w:tcW w:type="dxa" w:w="785"/>
          </w:tcPr>
          <w:p>
            <w:r>
              <w:rPr>
                <w:b/>
              </w:rPr>
              <w:t>RE bias</w:t>
            </w:r>
          </w:p>
        </w:tc>
        <w:tc>
          <w:tcPr>
            <w:tcW w:type="dxa" w:w="785"/>
          </w:tcPr>
          <w:p>
            <w:r>
              <w:rPr>
                <w:b/>
              </w:rPr>
              <w:t>Rel reduction strat</w:t>
            </w:r>
          </w:p>
        </w:tc>
        <w:tc>
          <w:tcPr>
            <w:tcW w:type="dxa" w:w="785"/>
          </w:tcPr>
          <w:p>
            <w:r>
              <w:rPr>
                <w:b/>
              </w:rPr>
              <w:t>Rel reduction RE</w:t>
            </w:r>
          </w:p>
        </w:tc>
        <w:tc>
          <w:tcPr>
            <w:tcW w:type="dxa" w:w="785"/>
          </w:tcPr>
          <w:p>
            <w:r>
              <w:rPr>
                <w:b/>
              </w:rPr>
              <w:t>RE I2</w:t>
            </w:r>
          </w:p>
        </w:tc>
      </w:tr>
      <w:tr>
        <w:tc>
          <w:tcPr>
            <w:tcW w:type="dxa" w:w="785"/>
          </w:tcPr>
          <w:p>
            <w:r>
              <w:t>1A_predicted_prob</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1B_residual</w:t>
            </w:r>
          </w:p>
        </w:tc>
        <w:tc>
          <w:tcPr>
            <w:tcW w:type="dxa" w:w="785"/>
          </w:tcPr>
          <w:p>
            <w:r>
              <w:t>0.032</w:t>
            </w:r>
          </w:p>
        </w:tc>
        <w:tc>
          <w:tcPr>
            <w:tcW w:type="dxa" w:w="785"/>
          </w:tcPr>
          <w:p>
            <w:r>
              <w:t>0.927</w:t>
            </w:r>
          </w:p>
        </w:tc>
        <w:tc>
          <w:tcPr>
            <w:tcW w:type="dxa" w:w="785"/>
          </w:tcPr>
          <w:p>
            <w:r>
              <w:t>0.363</w:t>
            </w:r>
          </w:p>
        </w:tc>
        <w:tc>
          <w:tcPr>
            <w:tcW w:type="dxa" w:w="785"/>
          </w:tcPr>
          <w:p>
            <w:r>
              <w:t>0.078</w:t>
            </w:r>
          </w:p>
        </w:tc>
        <w:tc>
          <w:tcPr>
            <w:tcW w:type="dxa" w:w="785"/>
          </w:tcPr>
          <w:p>
            <w:r>
              <w:t>0.01865</w:t>
            </w:r>
          </w:p>
        </w:tc>
        <w:tc>
          <w:tcPr>
            <w:tcW w:type="dxa" w:w="785"/>
          </w:tcPr>
          <w:p>
            <w:r>
              <w:t>0.01345</w:t>
            </w:r>
          </w:p>
        </w:tc>
        <w:tc>
          <w:tcPr>
            <w:tcW w:type="dxa" w:w="785"/>
          </w:tcPr>
          <w:p>
            <w:r>
              <w:t>0.00816</w:t>
            </w:r>
          </w:p>
        </w:tc>
        <w:tc>
          <w:tcPr>
            <w:tcW w:type="dxa" w:w="785"/>
          </w:tcPr>
          <w:p>
            <w:r>
              <w:t>0.279</w:t>
            </w:r>
          </w:p>
        </w:tc>
        <w:tc>
          <w:tcPr>
            <w:tcW w:type="dxa" w:w="785"/>
          </w:tcPr>
          <w:p>
            <w:r>
              <w:t>0.563</w:t>
            </w:r>
          </w:p>
        </w:tc>
        <w:tc>
          <w:tcPr>
            <w:tcW w:type="dxa" w:w="785"/>
          </w:tcPr>
          <w:p>
            <w:r>
              <w:t>0.044</w:t>
            </w:r>
          </w:p>
        </w:tc>
      </w:tr>
      <w:tr>
        <w:tc>
          <w:tcPr>
            <w:tcW w:type="dxa" w:w="785"/>
          </w:tcPr>
          <w:p>
            <w:r>
              <w:t>1C_cv_decision</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2A_PCA_cum60</w:t>
            </w:r>
          </w:p>
        </w:tc>
        <w:tc>
          <w:tcPr>
            <w:tcW w:type="dxa" w:w="785"/>
          </w:tcPr>
          <w:p>
            <w:r>
              <w:t>0.016</w:t>
            </w:r>
          </w:p>
        </w:tc>
        <w:tc>
          <w:tcPr>
            <w:tcW w:type="dxa" w:w="785"/>
          </w:tcPr>
          <w:p>
            <w:r>
              <w:t>0.881</w:t>
            </w:r>
          </w:p>
        </w:tc>
        <w:tc>
          <w:tcPr>
            <w:tcW w:type="dxa" w:w="785"/>
          </w:tcPr>
          <w:p>
            <w:r>
              <w:t>0.158</w:t>
            </w:r>
          </w:p>
        </w:tc>
        <w:tc>
          <w:tcPr>
            <w:tcW w:type="dxa" w:w="785"/>
          </w:tcPr>
          <w:p>
            <w:r>
              <w:t>0.080</w:t>
            </w:r>
          </w:p>
        </w:tc>
        <w:tc>
          <w:tcPr>
            <w:tcW w:type="dxa" w:w="785"/>
          </w:tcPr>
          <w:p>
            <w:r>
              <w:t>0.01865</w:t>
            </w:r>
          </w:p>
        </w:tc>
        <w:tc>
          <w:tcPr>
            <w:tcW w:type="dxa" w:w="785"/>
          </w:tcPr>
          <w:p>
            <w:r>
              <w:t>0.01883</w:t>
            </w:r>
          </w:p>
        </w:tc>
        <w:tc>
          <w:tcPr>
            <w:tcW w:type="dxa" w:w="785"/>
          </w:tcPr>
          <w:p>
            <w:r>
              <w:t>0.01769</w:t>
            </w:r>
          </w:p>
        </w:tc>
        <w:tc>
          <w:tcPr>
            <w:tcW w:type="dxa" w:w="785"/>
          </w:tcPr>
          <w:p>
            <w:r>
              <w:t>-0.010</w:t>
            </w:r>
          </w:p>
        </w:tc>
        <w:tc>
          <w:tcPr>
            <w:tcW w:type="dxa" w:w="785"/>
          </w:tcPr>
          <w:p>
            <w:r>
              <w:t>0.051</w:t>
            </w:r>
          </w:p>
        </w:tc>
        <w:tc>
          <w:tcPr>
            <w:tcW w:type="dxa" w:w="785"/>
          </w:tcPr>
          <w:p>
            <w:r>
              <w:t>0.130</w:t>
            </w:r>
          </w:p>
        </w:tc>
      </w:tr>
      <w:tr>
        <w:tc>
          <w:tcPr>
            <w:tcW w:type="dxa" w:w="785"/>
          </w:tcPr>
          <w:p>
            <w:r>
              <w:t>2B_clustering</w:t>
            </w:r>
          </w:p>
        </w:tc>
        <w:tc>
          <w:tcPr>
            <w:tcW w:type="dxa" w:w="785"/>
          </w:tcPr>
          <w:p>
            <w:r>
              <w:t>0.023</w:t>
            </w:r>
          </w:p>
        </w:tc>
        <w:tc>
          <w:tcPr>
            <w:tcW w:type="dxa" w:w="785"/>
          </w:tcPr>
          <w:p>
            <w:r>
              <w:t>0.865</w:t>
            </w:r>
          </w:p>
        </w:tc>
        <w:tc>
          <w:tcPr>
            <w:tcW w:type="dxa" w:w="785"/>
          </w:tcPr>
          <w:p>
            <w:r>
              <w:t>0.210</w:t>
            </w:r>
          </w:p>
        </w:tc>
        <w:tc>
          <w:tcPr>
            <w:tcW w:type="dxa" w:w="785"/>
          </w:tcPr>
          <w:p>
            <w:r>
              <w:t>0.143</w:t>
            </w:r>
          </w:p>
        </w:tc>
        <w:tc>
          <w:tcPr>
            <w:tcW w:type="dxa" w:w="785"/>
          </w:tcPr>
          <w:p>
            <w:r>
              <w:t>0.01865</w:t>
            </w:r>
          </w:p>
        </w:tc>
        <w:tc>
          <w:tcPr>
            <w:tcW w:type="dxa" w:w="785"/>
          </w:tcPr>
          <w:p>
            <w:r>
              <w:t>0.01796</w:t>
            </w:r>
          </w:p>
        </w:tc>
        <w:tc>
          <w:tcPr>
            <w:tcW w:type="dxa" w:w="785"/>
          </w:tcPr>
          <w:p>
            <w:r>
              <w:t>0.01651</w:t>
            </w:r>
          </w:p>
        </w:tc>
        <w:tc>
          <w:tcPr>
            <w:tcW w:type="dxa" w:w="785"/>
          </w:tcPr>
          <w:p>
            <w:r>
              <w:t>0.037</w:t>
            </w:r>
          </w:p>
        </w:tc>
        <w:tc>
          <w:tcPr>
            <w:tcW w:type="dxa" w:w="785"/>
          </w:tcPr>
          <w:p>
            <w:r>
              <w:t>0.115</w:t>
            </w:r>
          </w:p>
        </w:tc>
        <w:tc>
          <w:tcPr>
            <w:tcW w:type="dxa" w:w="785"/>
          </w:tcPr>
          <w:p>
            <w:r>
              <w:t>0.146</w:t>
            </w:r>
          </w:p>
        </w:tc>
      </w:tr>
      <w:tr>
        <w:tc>
          <w:tcPr>
            <w:tcW w:type="dxa" w:w="785"/>
          </w:tcPr>
          <w:p>
            <w:r>
              <w:t>GMM</w:t>
            </w:r>
          </w:p>
        </w:tc>
        <w:tc>
          <w:tcPr>
            <w:tcW w:type="dxa" w:w="785"/>
          </w:tcPr>
          <w:p>
            <w:r>
              <w:t>0.005</w:t>
            </w:r>
          </w:p>
        </w:tc>
        <w:tc>
          <w:tcPr>
            <w:tcW w:type="dxa" w:w="785"/>
          </w:tcPr>
          <w:p>
            <w:r>
              <w:t>0.895</w:t>
            </w:r>
          </w:p>
        </w:tc>
        <w:tc>
          <w:tcPr>
            <w:tcW w:type="dxa" w:w="785"/>
          </w:tcPr>
          <w:p>
            <w:r>
              <w:t>0.050</w:t>
            </w:r>
          </w:p>
        </w:tc>
        <w:tc>
          <w:tcPr>
            <w:tcW w:type="dxa" w:w="785"/>
          </w:tcPr>
          <w:p>
            <w:r>
              <w:t>0.096</w:t>
            </w:r>
          </w:p>
        </w:tc>
        <w:tc>
          <w:tcPr>
            <w:tcW w:type="dxa" w:w="785"/>
          </w:tcPr>
          <w:p>
            <w:r>
              <w:t>0.01865</w:t>
            </w:r>
          </w:p>
        </w:tc>
        <w:tc>
          <w:tcPr>
            <w:tcW w:type="dxa" w:w="785"/>
          </w:tcPr>
          <w:p>
            <w:r>
              <w:t>0.01797</w:t>
            </w:r>
          </w:p>
        </w:tc>
        <w:tc>
          <w:tcPr>
            <w:tcW w:type="dxa" w:w="785"/>
          </w:tcPr>
          <w:p>
            <w:r>
              <w:t>0.01686</w:t>
            </w:r>
          </w:p>
        </w:tc>
        <w:tc>
          <w:tcPr>
            <w:tcW w:type="dxa" w:w="785"/>
          </w:tcPr>
          <w:p>
            <w:r>
              <w:t>0.036</w:t>
            </w:r>
          </w:p>
        </w:tc>
        <w:tc>
          <w:tcPr>
            <w:tcW w:type="dxa" w:w="785"/>
          </w:tcPr>
          <w:p>
            <w:r>
              <w:t>0.096</w:t>
            </w:r>
          </w:p>
        </w:tc>
        <w:tc>
          <w:tcPr>
            <w:tcW w:type="dxa" w:w="785"/>
          </w:tcPr>
          <w:p>
            <w:r>
              <w:t>0.127</w:t>
            </w:r>
          </w:p>
        </w:tc>
      </w:tr>
      <w:tr>
        <w:tc>
          <w:tcPr>
            <w:tcW w:type="dxa" w:w="785"/>
          </w:tcPr>
          <w:p>
            <w:r>
              <w:t>PS_propensity_score</w:t>
            </w:r>
          </w:p>
        </w:tc>
        <w:tc>
          <w:tcPr>
            <w:tcW w:type="dxa" w:w="785"/>
          </w:tcPr>
          <w:p>
            <w:r>
              <w:t>0.005</w:t>
            </w:r>
          </w:p>
        </w:tc>
        <w:tc>
          <w:tcPr>
            <w:tcW w:type="dxa" w:w="785"/>
          </w:tcPr>
          <w:p>
            <w:r>
              <w:t>0.881</w:t>
            </w:r>
          </w:p>
        </w:tc>
        <w:tc>
          <w:tcPr>
            <w:tcW w:type="dxa" w:w="785"/>
          </w:tcPr>
          <w:p>
            <w:r>
              <w:t>0.050</w:t>
            </w:r>
          </w:p>
        </w:tc>
        <w:tc>
          <w:tcPr>
            <w:tcW w:type="dxa" w:w="785"/>
          </w:tcPr>
          <w:p>
            <w:r>
              <w:t>0.059</w:t>
            </w:r>
          </w:p>
        </w:tc>
        <w:tc>
          <w:tcPr>
            <w:tcW w:type="dxa" w:w="785"/>
          </w:tcPr>
          <w:p>
            <w:r>
              <w:t>0.01865</w:t>
            </w:r>
          </w:p>
        </w:tc>
        <w:tc>
          <w:tcPr>
            <w:tcW w:type="dxa" w:w="785"/>
          </w:tcPr>
          <w:p>
            <w:r>
              <w:t>0.01816</w:t>
            </w:r>
          </w:p>
        </w:tc>
        <w:tc>
          <w:tcPr>
            <w:tcW w:type="dxa" w:w="785"/>
          </w:tcPr>
          <w:p>
            <w:r>
              <w:t>0.01754</w:t>
            </w:r>
          </w:p>
        </w:tc>
        <w:tc>
          <w:tcPr>
            <w:tcW w:type="dxa" w:w="785"/>
          </w:tcPr>
          <w:p>
            <w:r>
              <w:t>0.026</w:t>
            </w:r>
          </w:p>
        </w:tc>
        <w:tc>
          <w:tcPr>
            <w:tcW w:type="dxa" w:w="785"/>
          </w:tcPr>
          <w:p>
            <w:r>
              <w:t>0.059</w:t>
            </w:r>
          </w:p>
        </w:tc>
        <w:tc>
          <w:tcPr>
            <w:tcW w:type="dxa" w:w="785"/>
          </w:tcPr>
          <w:p>
            <w:r>
              <w:t>0.144</w:t>
            </w:r>
          </w:p>
        </w:tc>
      </w:tr>
      <w:tr>
        <w:tc>
          <w:tcPr>
            <w:tcW w:type="dxa" w:w="785"/>
          </w:tcPr>
          <w:p>
            <w:r>
              <w:t>Prognostic_score</w:t>
            </w:r>
          </w:p>
        </w:tc>
        <w:tc>
          <w:tcPr>
            <w:tcW w:type="dxa" w:w="785"/>
          </w:tcPr>
          <w:p>
            <w:r>
              <w:t>0.026</w:t>
            </w:r>
          </w:p>
        </w:tc>
        <w:tc>
          <w:tcPr>
            <w:tcW w:type="dxa" w:w="785"/>
          </w:tcPr>
          <w:p>
            <w:r>
              <w:t>0.858</w:t>
            </w:r>
          </w:p>
        </w:tc>
        <w:tc>
          <w:tcPr>
            <w:tcW w:type="dxa" w:w="785"/>
          </w:tcPr>
          <w:p>
            <w:r>
              <w:t>0.322</w:t>
            </w:r>
          </w:p>
        </w:tc>
        <w:tc>
          <w:tcPr>
            <w:tcW w:type="dxa" w:w="785"/>
          </w:tcPr>
          <w:p>
            <w:r>
              <w:t>0.107</w:t>
            </w:r>
          </w:p>
        </w:tc>
        <w:tc>
          <w:tcPr>
            <w:tcW w:type="dxa" w:w="785"/>
          </w:tcPr>
          <w:p>
            <w:r>
              <w:t>0.01865</w:t>
            </w:r>
          </w:p>
        </w:tc>
        <w:tc>
          <w:tcPr>
            <w:tcW w:type="dxa" w:w="785"/>
          </w:tcPr>
          <w:p>
            <w:r>
              <w:t>0.01849</w:t>
            </w:r>
          </w:p>
        </w:tc>
        <w:tc>
          <w:tcPr>
            <w:tcW w:type="dxa" w:w="785"/>
          </w:tcPr>
          <w:p>
            <w:r>
              <w:t>0.01430</w:t>
            </w:r>
          </w:p>
        </w:tc>
        <w:tc>
          <w:tcPr>
            <w:tcW w:type="dxa" w:w="785"/>
          </w:tcPr>
          <w:p>
            <w:r>
              <w:t>0.009</w:t>
            </w:r>
          </w:p>
        </w:tc>
        <w:tc>
          <w:tcPr>
            <w:tcW w:type="dxa" w:w="785"/>
          </w:tcPr>
          <w:p>
            <w:r>
              <w:t>0.233</w:t>
            </w:r>
          </w:p>
        </w:tc>
        <w:tc>
          <w:tcPr>
            <w:tcW w:type="dxa" w:w="785"/>
          </w:tcPr>
          <w:p>
            <w:r>
              <w:t>0.141</w:t>
            </w:r>
          </w:p>
        </w:tc>
      </w:tr>
      <w:tr>
        <w:tc>
          <w:tcPr>
            <w:tcW w:type="dxa" w:w="785"/>
          </w:tcPr>
          <w:p>
            <w:r>
              <w:t>baseline_oracle_kmeans</w:t>
            </w:r>
          </w:p>
        </w:tc>
        <w:tc>
          <w:tcPr>
            <w:tcW w:type="dxa" w:w="785"/>
          </w:tcPr>
          <w:p>
            <w:r>
              <w:t>0.372</w:t>
            </w:r>
          </w:p>
        </w:tc>
        <w:tc>
          <w:tcPr>
            <w:tcW w:type="dxa" w:w="785"/>
          </w:tcPr>
          <w:p>
            <w:r>
              <w:t>0.913</w:t>
            </w:r>
          </w:p>
        </w:tc>
        <w:tc>
          <w:tcPr>
            <w:tcW w:type="dxa" w:w="785"/>
          </w:tcPr>
          <w:p>
            <w:r>
              <w:t>0.355</w:t>
            </w:r>
          </w:p>
        </w:tc>
        <w:tc>
          <w:tcPr>
            <w:tcW w:type="dxa" w:w="785"/>
          </w:tcPr>
          <w:p>
            <w:r>
              <w:t>0.030</w:t>
            </w:r>
          </w:p>
        </w:tc>
        <w:tc>
          <w:tcPr>
            <w:tcW w:type="dxa" w:w="785"/>
          </w:tcPr>
          <w:p>
            <w:r>
              <w:t>0.01865</w:t>
            </w:r>
          </w:p>
        </w:tc>
        <w:tc>
          <w:tcPr>
            <w:tcW w:type="dxa" w:w="785"/>
          </w:tcPr>
          <w:p>
            <w:r>
              <w:t>0.01901</w:t>
            </w:r>
          </w:p>
        </w:tc>
        <w:tc>
          <w:tcPr>
            <w:tcW w:type="dxa" w:w="785"/>
          </w:tcPr>
          <w:p>
            <w:r>
              <w:t>0.01651</w:t>
            </w:r>
          </w:p>
        </w:tc>
        <w:tc>
          <w:tcPr>
            <w:tcW w:type="dxa" w:w="785"/>
          </w:tcPr>
          <w:p>
            <w:r>
              <w:t>-0.019</w:t>
            </w:r>
          </w:p>
        </w:tc>
        <w:tc>
          <w:tcPr>
            <w:tcW w:type="dxa" w:w="785"/>
          </w:tcPr>
          <w:p>
            <w:r>
              <w:t>0.115</w:t>
            </w:r>
          </w:p>
        </w:tc>
        <w:tc>
          <w:tcPr>
            <w:tcW w:type="dxa" w:w="785"/>
          </w:tcPr>
          <w:p>
            <w:r>
              <w:t>0.124</w:t>
            </w:r>
          </w:p>
        </w:tc>
      </w:tr>
      <w:tr>
        <w:tc>
          <w:tcPr>
            <w:tcW w:type="dxa" w:w="785"/>
          </w:tcPr>
          <w:p>
            <w:r>
              <w:t>baseline_oracle_quantile</w:t>
            </w:r>
          </w:p>
        </w:tc>
        <w:tc>
          <w:tcPr>
            <w:tcW w:type="dxa" w:w="785"/>
          </w:tcPr>
          <w:p>
            <w:r>
              <w:t>0.095</w:t>
            </w:r>
          </w:p>
        </w:tc>
        <w:tc>
          <w:tcPr>
            <w:tcW w:type="dxa" w:w="785"/>
          </w:tcPr>
          <w:p>
            <w:r>
              <w:t>0.897</w:t>
            </w:r>
          </w:p>
        </w:tc>
        <w:tc>
          <w:tcPr>
            <w:tcW w:type="dxa" w:w="785"/>
          </w:tcPr>
          <w:p>
            <w:r>
              <w:t>0.447</w:t>
            </w:r>
          </w:p>
        </w:tc>
        <w:tc>
          <w:tcPr>
            <w:tcW w:type="dxa" w:w="785"/>
          </w:tcPr>
          <w:p>
            <w:r>
              <w:t>0.042</w:t>
            </w:r>
          </w:p>
        </w:tc>
        <w:tc>
          <w:tcPr>
            <w:tcW w:type="dxa" w:w="785"/>
          </w:tcPr>
          <w:p>
            <w:r>
              <w:t>0.01865</w:t>
            </w:r>
          </w:p>
        </w:tc>
        <w:tc>
          <w:tcPr>
            <w:tcW w:type="dxa" w:w="785"/>
          </w:tcPr>
          <w:p>
            <w:r>
              <w:t>0.01620</w:t>
            </w:r>
          </w:p>
        </w:tc>
        <w:tc>
          <w:tcPr>
            <w:tcW w:type="dxa" w:w="785"/>
          </w:tcPr>
          <w:p>
            <w:r>
              <w:t>0.01266</w:t>
            </w:r>
          </w:p>
        </w:tc>
        <w:tc>
          <w:tcPr>
            <w:tcW w:type="dxa" w:w="785"/>
          </w:tcPr>
          <w:p>
            <w:r>
              <w:t>0.131</w:t>
            </w:r>
          </w:p>
        </w:tc>
        <w:tc>
          <w:tcPr>
            <w:tcW w:type="dxa" w:w="785"/>
          </w:tcPr>
          <w:p>
            <w:r>
              <w:t>0.321</w:t>
            </w:r>
          </w:p>
        </w:tc>
        <w:tc>
          <w:tcPr>
            <w:tcW w:type="dxa" w:w="785"/>
          </w:tcPr>
          <w:p>
            <w:r>
              <w:t>0.169</w:t>
            </w:r>
          </w:p>
        </w:tc>
      </w:tr>
      <w:tr>
        <w:tc>
          <w:tcPr>
            <w:tcW w:type="dxa" w:w="785"/>
          </w:tcPr>
          <w:p>
            <w:r>
              <w:t>baseline_random</w:t>
            </w:r>
          </w:p>
        </w:tc>
        <w:tc>
          <w:tcPr>
            <w:tcW w:type="dxa" w:w="785"/>
          </w:tcPr>
          <w:p>
            <w:r>
              <w:t>0.000</w:t>
            </w:r>
          </w:p>
        </w:tc>
        <w:tc>
          <w:tcPr>
            <w:tcW w:type="dxa" w:w="785"/>
          </w:tcPr>
          <w:p>
            <w:r>
              <w:t>0.883</w:t>
            </w:r>
          </w:p>
        </w:tc>
        <w:tc>
          <w:tcPr>
            <w:tcW w:type="dxa" w:w="785"/>
          </w:tcPr>
          <w:p>
            <w:r>
              <w:t>0.004</w:t>
            </w:r>
          </w:p>
        </w:tc>
        <w:tc>
          <w:tcPr>
            <w:tcW w:type="dxa" w:w="785"/>
          </w:tcPr>
          <w:p>
            <w:r>
              <w:t>0.004</w:t>
            </w:r>
          </w:p>
        </w:tc>
        <w:tc>
          <w:tcPr>
            <w:tcW w:type="dxa" w:w="785"/>
          </w:tcPr>
          <w:p>
            <w:r>
              <w:t>0.01865</w:t>
            </w:r>
          </w:p>
        </w:tc>
        <w:tc>
          <w:tcPr>
            <w:tcW w:type="dxa" w:w="785"/>
          </w:tcPr>
          <w:p>
            <w:r>
              <w:t>0.01847</w:t>
            </w:r>
          </w:p>
        </w:tc>
        <w:tc>
          <w:tcPr>
            <w:tcW w:type="dxa" w:w="785"/>
          </w:tcPr>
          <w:p>
            <w:r>
              <w:t>0.01901</w:t>
            </w:r>
          </w:p>
        </w:tc>
        <w:tc>
          <w:tcPr>
            <w:tcW w:type="dxa" w:w="785"/>
          </w:tcPr>
          <w:p>
            <w:r>
              <w:t>0.010</w:t>
            </w:r>
          </w:p>
        </w:tc>
        <w:tc>
          <w:tcPr>
            <w:tcW w:type="dxa" w:w="785"/>
          </w:tcPr>
          <w:p>
            <w:r>
              <w:t>-0.019</w:t>
            </w:r>
          </w:p>
        </w:tc>
        <w:tc>
          <w:tcPr>
            <w:tcW w:type="dxa" w:w="785"/>
          </w:tcPr>
          <w:p>
            <w:r>
              <w:t>0.117</w:t>
            </w:r>
          </w:p>
        </w:tc>
      </w:tr>
    </w:tbl>
    <w:p>
      <w:pPr>
        <w:spacing w:before="240"/>
      </w:pPr>
      <w:r/>
      <w:r>
        <w:rPr>
          <w:i/>
        </w:rPr>
        <w:t>Table 1. Primary IPD scenario (n=2000, 10 studies, K=5): means over 50 simulations.</w:t>
      </w:r>
      <w:r/>
    </w:p>
    <w:p>
      <w:pPr>
        <w:spacing w:after="120"/>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jc w:val="center"/>
      </w:pPr>
      <w:r>
        <w:rPr>
          <w:b/>
        </w:rPr>
        <w:t>Figure 1. Primary IPD scenario: (a) ARI, (b) C1/W coherence diagnostics, and (c) ATE bias reduction by method.</w:t>
      </w:r>
    </w:p>
    <w:p>
      <w:pPr>
        <w:pStyle w:val="Heading2"/>
      </w:pPr>
      <w:r>
        <w:t>Sensitivity to the number of strata</w:t>
      </w:r>
    </w:p>
    <w:p>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jc w:val="center"/>
      </w:pPr>
      <w:r>
        <w:rPr>
          <w:b/>
        </w:rPr>
        <w:t>Figure 2. Random-effects ATE bias reduction as the number of strata varies.</w:t>
      </w:r>
    </w:p>
    <w:p>
      <w:pPr>
        <w:pStyle w:val="Heading2"/>
      </w:pPr>
      <w:r>
        <w:t>Semi-synthetic illustrations</w:t>
      </w:r>
    </w:p>
    <w:p>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high ARI occurred only when pseudo-variables strongly correlated with a low-dimensional confounder.</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m:oMath>
              <m:sSub>
                <m:e>
                  <m:r>
                    <m:t xml:space="preserve">W</m:t>
                  </m:r>
                </m:e>
                <m:sub>
                  <m:r>
                    <m:t xml:space="preserve">est</m:t>
                  </m:r>
                </m:sub>
              </m:sSub>
            </m:oMath>
          </w:p>
        </w:tc>
        <w:tc>
          <w:tcPr>
            <w:tcW w:type="dxa" w:w="1234"/>
          </w:tcPr>
          <w:p>
            <w:r>
              <w:rPr>
                <w:b/>
              </w:rPr>
              <w:t>Bias reduction</w:t>
            </w:r>
          </w:p>
        </w:tc>
      </w:tr>
      <w:tr>
        <w:tc>
          <w:tcPr>
            <w:tcW w:type="dxa" w:w="1234"/>
          </w:tcPr>
          <w:p>
            <w:r>
              <w:t>COVID-19 CFR</w:t>
            </w:r>
          </w:p>
        </w:tc>
        <w:tc>
          <w:tcPr>
            <w:tcW w:type="dxa" w:w="1234"/>
          </w:tcPr>
          <w:p>
            <w:r>
              <w:t>1B_residual</w:t>
            </w:r>
          </w:p>
        </w:tc>
        <w:tc>
          <w:tcPr>
            <w:tcW w:type="dxa" w:w="1234"/>
          </w:tcPr>
          <w:p>
            <w:r>
              <w:t>3</w:t>
            </w:r>
          </w:p>
        </w:tc>
        <w:tc>
          <w:tcPr>
            <w:tcW w:type="dxa" w:w="1234"/>
          </w:tcPr>
          <w:p>
            <w:r>
              <w:t>0.065</w:t>
            </w:r>
          </w:p>
        </w:tc>
        <w:tc>
          <w:tcPr>
            <w:tcW w:type="dxa" w:w="1234"/>
          </w:tcPr>
          <w:p>
            <w:r>
              <w:t>1.000</w:t>
            </w:r>
          </w:p>
        </w:tc>
        <w:tc>
          <w:tcPr>
            <w:tcW w:type="dxa" w:w="1234"/>
          </w:tcPr>
          <w:p>
            <w:r>
              <w:t>0.035</w:t>
            </w:r>
          </w:p>
        </w:tc>
        <w:tc>
          <w:tcPr>
            <w:tcW w:type="dxa" w:w="1234"/>
          </w:tcPr>
          <w:p>
            <w:r>
              <w:t>0.017</w:t>
            </w:r>
          </w:p>
        </w:tc>
      </w:tr>
      <w:tr>
        <w:tc>
          <w:tcPr>
            <w:tcW w:type="dxa" w:w="1234"/>
          </w:tcPr>
          <w:p>
            <w:r>
              <w:t>Israel Vaccine</w:t>
            </w:r>
          </w:p>
        </w:tc>
        <w:tc>
          <w:tcPr>
            <w:tcW w:type="dxa" w:w="1234"/>
          </w:tcPr>
          <w:p>
            <w:r>
              <w:t>2B_clustering</w:t>
            </w:r>
          </w:p>
        </w:tc>
        <w:tc>
          <w:tcPr>
            <w:tcW w:type="dxa" w:w="1234"/>
          </w:tcPr>
          <w:p>
            <w:r>
              <w:t>2</w:t>
            </w:r>
          </w:p>
        </w:tc>
        <w:tc>
          <w:tcPr>
            <w:tcW w:type="dxa" w:w="1234"/>
          </w:tcPr>
          <w:p>
            <w:r>
              <w:t>0.746</w:t>
            </w:r>
          </w:p>
        </w:tc>
        <w:tc>
          <w:tcPr>
            <w:tcW w:type="dxa" w:w="1234"/>
          </w:tcPr>
          <w:p>
            <w:r>
              <w:t>0.048</w:t>
            </w:r>
          </w:p>
        </w:tc>
        <w:tc>
          <w:tcPr>
            <w:tcW w:type="dxa" w:w="1234"/>
          </w:tcPr>
          <w:p>
            <w:r>
              <w:t>0.289</w:t>
            </w:r>
          </w:p>
        </w:tc>
        <w:tc>
          <w:tcPr>
            <w:tcW w:type="dxa" w:w="1234"/>
          </w:tcPr>
          <w:p>
            <w:r>
              <w:t>0.011</w:t>
            </w:r>
          </w:p>
        </w:tc>
      </w:tr>
      <w:tr>
        <w:tc>
          <w:tcPr>
            <w:tcW w:type="dxa" w:w="1234"/>
          </w:tcPr>
          <w:p>
            <w:r>
              <w:t>Kidney Stone</w:t>
            </w:r>
          </w:p>
        </w:tc>
        <w:tc>
          <w:tcPr>
            <w:tcW w:type="dxa" w:w="1234"/>
          </w:tcPr>
          <w:p>
            <w:r>
              <w:t>GMM</w:t>
            </w:r>
          </w:p>
        </w:tc>
        <w:tc>
          <w:tcPr>
            <w:tcW w:type="dxa" w:w="1234"/>
          </w:tcPr>
          <w:p>
            <w:r>
              <w:t>2</w:t>
            </w:r>
          </w:p>
        </w:tc>
        <w:tc>
          <w:tcPr>
            <w:tcW w:type="dxa" w:w="1234"/>
          </w:tcPr>
          <w:p>
            <w:r>
              <w:t>0.966</w:t>
            </w:r>
          </w:p>
        </w:tc>
        <w:tc>
          <w:tcPr>
            <w:tcW w:type="dxa" w:w="1234"/>
          </w:tcPr>
          <w:p>
            <w:r>
              <w:t>0.830</w:t>
            </w:r>
          </w:p>
        </w:tc>
        <w:tc>
          <w:tcPr>
            <w:tcW w:type="dxa" w:w="1234"/>
          </w:tcPr>
          <w:p>
            <w:r>
              <w:t>0.167</w:t>
            </w:r>
          </w:p>
        </w:tc>
        <w:tc>
          <w:tcPr>
            <w:tcW w:type="dxa" w:w="1234"/>
          </w:tcPr>
          <w:p>
            <w:r>
              <w:t>0.094</w:t>
            </w:r>
          </w:p>
        </w:tc>
      </w:tr>
      <w:tr>
        <w:tc>
          <w:tcPr>
            <w:tcW w:type="dxa" w:w="1234"/>
          </w:tcPr>
          <w:p>
            <w:r>
              <w:t>Smoking Mortality</w:t>
            </w:r>
          </w:p>
        </w:tc>
        <w:tc>
          <w:tcPr>
            <w:tcW w:type="dxa" w:w="1234"/>
          </w:tcPr>
          <w:p>
            <w:r>
              <w:t>1A_predicted_prob</w:t>
            </w:r>
          </w:p>
        </w:tc>
        <w:tc>
          <w:tcPr>
            <w:tcW w:type="dxa" w:w="1234"/>
          </w:tcPr>
          <w:p>
            <w:r>
              <w:t>7</w:t>
            </w:r>
          </w:p>
        </w:tc>
        <w:tc>
          <w:tcPr>
            <w:tcW w:type="dxa" w:w="1234"/>
          </w:tcPr>
          <w:p>
            <w:r>
              <w:t>0.498</w:t>
            </w:r>
          </w:p>
        </w:tc>
        <w:tc>
          <w:tcPr>
            <w:tcW w:type="dxa" w:w="1234"/>
          </w:tcPr>
          <w:p>
            <w:r>
              <w:t>1.000</w:t>
            </w:r>
          </w:p>
        </w:tc>
        <w:tc>
          <w:tcPr>
            <w:tcW w:type="dxa" w:w="1234"/>
          </w:tcPr>
          <w:p>
            <w:r>
              <w:t>0.161</w:t>
            </w:r>
          </w:p>
        </w:tc>
        <w:tc>
          <w:tcPr>
            <w:tcW w:type="dxa" w:w="1234"/>
          </w:tcPr>
          <w:p>
            <w:r>
              <w:t>0.114</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spacing w:before="240"/>
      </w:pPr>
      <w:r/>
      <w:r>
        <w:rPr>
          <w:i/>
        </w:rPr>
        <w:t>Table 2. Best semi-synthetic illustration result per dataset (oracle baselines excluded). Bias reduction is the absolute difference between crude and stratified ATE risk-difference bias.</w:t>
      </w:r>
      <w:r/>
    </w:p>
    <w:p>
      <w:pPr>
        <w:spacing w:after="120"/>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jc w:val="center"/>
      </w:pPr>
      <w:r>
        <w:rPr>
          <w:b/>
        </w:rPr>
        <w:t>Figure 3. Semi-synthetic illustration: ARI by dataset and method.</w:t>
      </w:r>
    </w:p>
    <w:p>
      <w:pPr>
        <w:pStyle w:val="Heading2"/>
      </w:pPr>
      <w:r>
        <w:t>Sensitivity to sample size</w:t>
      </w:r>
    </w:p>
    <w:p>
      <w:r>
        <w:t>Figure 4 and Supplementary Table S2 report n = 500, 2000 and 10 000 (K=5). Crude bias declined with n; the largest relative reductions for leading methods occurred at n = 10 000. The outcome-residual method showed a floor near 0.008-0.009, so its relative reduction decreased with n.</w:t>
      </w:r>
    </w:p>
    <w:p>
      <w:pPr>
        <w:spacing w:after="120"/>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jc w:val="center"/>
      </w:pPr>
      <w:r>
        <w:rPr>
          <w:b/>
        </w:rPr>
        <w:t>Figure 4. Sample-size sensitivity of random-effects ATE bias reduction (K=5).</w:t>
      </w:r>
    </w:p>
    <w:p>
      <w:pPr>
        <w:pStyle w:val="Heading2"/>
      </w:pPr>
      <w:r>
        <w:t>Sensitivity to Z-to-X and Z-to-Y effects</w:t>
      </w:r>
    </w:p>
    <w:p>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pPr>
      <w:r>
        <w:t>Robustness to non-linear Z-to-X mappings</w:t>
      </w:r>
    </w:p>
    <w:p>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Linear RE bias</w:t>
            </w:r>
          </w:p>
        </w:tc>
        <w:tc>
          <w:tcPr>
            <w:tcW w:type="dxa" w:w="960"/>
          </w:tcPr>
          <w:p>
            <w:r>
              <w:rPr>
                <w:b/>
              </w:rPr>
              <w:t>Linear RE bias SE</w:t>
            </w:r>
          </w:p>
        </w:tc>
        <w:tc>
          <w:tcPr>
            <w:tcW w:type="dxa" w:w="960"/>
          </w:tcPr>
          <w:p>
            <w:r>
              <w:rPr>
                <w:b/>
              </w:rPr>
              <w:t>Linear rel reduction</w:t>
            </w:r>
          </w:p>
        </w:tc>
        <w:tc>
          <w:tcPr>
            <w:tcW w:type="dxa" w:w="960"/>
          </w:tcPr>
          <w:p>
            <w:r>
              <w:rPr>
                <w:b/>
              </w:rPr>
              <w:t>Linear rel reduction SE</w:t>
            </w:r>
          </w:p>
        </w:tc>
        <w:tc>
          <w:tcPr>
            <w:tcW w:type="dxa" w:w="960"/>
          </w:tcPr>
          <w:p>
            <w:r>
              <w:rPr>
                <w:b/>
              </w:rPr>
              <w:t>Non-linear RE bias</w:t>
            </w:r>
          </w:p>
        </w:tc>
        <w:tc>
          <w:tcPr>
            <w:tcW w:type="dxa" w:w="960"/>
          </w:tcPr>
          <w:p>
            <w:r>
              <w:rPr>
                <w:b/>
              </w:rPr>
              <w:t>Non-linear RE bias SE</w:t>
            </w:r>
          </w:p>
        </w:tc>
        <w:tc>
          <w:tcPr>
            <w:tcW w:type="dxa" w:w="960"/>
          </w:tcPr>
          <w:p>
            <w:r>
              <w:rPr>
                <w:b/>
              </w:rPr>
              <w:t>Non-linear rel reduction</w:t>
            </w:r>
          </w:p>
        </w:tc>
        <w:tc>
          <w:tcPr>
            <w:tcW w:type="dxa" w:w="960"/>
          </w:tcPr>
          <w:p>
            <w:r>
              <w:rPr>
                <w:b/>
              </w:rPr>
              <w:t>Non-linear rel reduction SE</w:t>
            </w:r>
          </w:p>
        </w:tc>
      </w:tr>
      <w:tr>
        <w:tc>
          <w:tcPr>
            <w:tcW w:type="dxa" w:w="960"/>
          </w:tcPr>
          <w:p>
            <w:r>
              <w:t>1B_residual</w:t>
            </w:r>
          </w:p>
        </w:tc>
        <w:tc>
          <w:tcPr>
            <w:tcW w:type="dxa" w:w="960"/>
          </w:tcPr>
          <w:p>
            <w:r>
              <w:t>0.00852</w:t>
            </w:r>
          </w:p>
        </w:tc>
        <w:tc>
          <w:tcPr>
            <w:tcW w:type="dxa" w:w="960"/>
          </w:tcPr>
          <w:p>
            <w:r>
              <w:t>0.00043</w:t>
            </w:r>
          </w:p>
        </w:tc>
        <w:tc>
          <w:tcPr>
            <w:tcW w:type="dxa" w:w="960"/>
          </w:tcPr>
          <w:p>
            <w:r>
              <w:t>0.522</w:t>
            </w:r>
          </w:p>
        </w:tc>
        <w:tc>
          <w:tcPr>
            <w:tcW w:type="dxa" w:w="960"/>
          </w:tcPr>
          <w:p>
            <w:r>
              <w:t>0.093</w:t>
            </w:r>
          </w:p>
        </w:tc>
        <w:tc>
          <w:tcPr>
            <w:tcW w:type="dxa" w:w="960"/>
          </w:tcPr>
          <w:p>
            <w:r>
              <w:t>0.00724</w:t>
            </w:r>
          </w:p>
        </w:tc>
        <w:tc>
          <w:tcPr>
            <w:tcW w:type="dxa" w:w="960"/>
          </w:tcPr>
          <w:p>
            <w:r>
              <w:t>0.00042</w:t>
            </w:r>
          </w:p>
        </w:tc>
        <w:tc>
          <w:tcPr>
            <w:tcW w:type="dxa" w:w="960"/>
          </w:tcPr>
          <w:p>
            <w:r>
              <w:t>0.640</w:t>
            </w:r>
          </w:p>
        </w:tc>
        <w:tc>
          <w:tcPr>
            <w:tcW w:type="dxa" w:w="960"/>
          </w:tcPr>
          <w:p>
            <w:r>
              <w:t>0.060</w:t>
            </w:r>
          </w:p>
        </w:tc>
      </w:tr>
      <w:tr>
        <w:tc>
          <w:tcPr>
            <w:tcW w:type="dxa" w:w="960"/>
          </w:tcPr>
          <w:p>
            <w:r>
              <w:t>PS_propensity_score</w:t>
            </w:r>
          </w:p>
        </w:tc>
        <w:tc>
          <w:tcPr>
            <w:tcW w:type="dxa" w:w="960"/>
          </w:tcPr>
          <w:p>
            <w:r>
              <w:t>0.01676</w:t>
            </w:r>
          </w:p>
        </w:tc>
        <w:tc>
          <w:tcPr>
            <w:tcW w:type="dxa" w:w="960"/>
          </w:tcPr>
          <w:p>
            <w:r>
              <w:t>0.00223</w:t>
            </w:r>
          </w:p>
        </w:tc>
        <w:tc>
          <w:tcPr>
            <w:tcW w:type="dxa" w:w="960"/>
          </w:tcPr>
          <w:p>
            <w:r>
              <w:t>0.060</w:t>
            </w:r>
          </w:p>
        </w:tc>
        <w:tc>
          <w:tcPr>
            <w:tcW w:type="dxa" w:w="960"/>
          </w:tcPr>
          <w:p>
            <w:r>
              <w:t>0.111</w:t>
            </w:r>
          </w:p>
        </w:tc>
        <w:tc>
          <w:tcPr>
            <w:tcW w:type="dxa" w:w="960"/>
          </w:tcPr>
          <w:p>
            <w:r>
              <w:t>0.01653</w:t>
            </w:r>
          </w:p>
        </w:tc>
        <w:tc>
          <w:tcPr>
            <w:tcW w:type="dxa" w:w="960"/>
          </w:tcPr>
          <w:p>
            <w:r>
              <w:t>0.00208</w:t>
            </w:r>
          </w:p>
        </w:tc>
        <w:tc>
          <w:tcPr>
            <w:tcW w:type="dxa" w:w="960"/>
          </w:tcPr>
          <w:p>
            <w:r>
              <w:t>0.178</w:t>
            </w:r>
          </w:p>
        </w:tc>
        <w:tc>
          <w:tcPr>
            <w:tcW w:type="dxa" w:w="960"/>
          </w:tcPr>
          <w:p>
            <w:r>
              <w:t>0.060</w:t>
            </w:r>
          </w:p>
        </w:tc>
      </w:tr>
      <w:tr>
        <w:tc>
          <w:tcPr>
            <w:tcW w:type="dxa" w:w="960"/>
          </w:tcPr>
          <w:p>
            <w:r>
              <w:t>GMM</w:t>
            </w:r>
          </w:p>
        </w:tc>
        <w:tc>
          <w:tcPr>
            <w:tcW w:type="dxa" w:w="960"/>
          </w:tcPr>
          <w:p>
            <w:r>
              <w:t>0.01736</w:t>
            </w:r>
          </w:p>
        </w:tc>
        <w:tc>
          <w:tcPr>
            <w:tcW w:type="dxa" w:w="960"/>
          </w:tcPr>
          <w:p>
            <w:r>
              <w:t>0.00272</w:t>
            </w:r>
          </w:p>
        </w:tc>
        <w:tc>
          <w:tcPr>
            <w:tcW w:type="dxa" w:w="960"/>
          </w:tcPr>
          <w:p>
            <w:r>
              <w:t>0.027</w:t>
            </w:r>
          </w:p>
        </w:tc>
        <w:tc>
          <w:tcPr>
            <w:tcW w:type="dxa" w:w="960"/>
          </w:tcPr>
          <w:p>
            <w:r>
              <w:t>0.082</w:t>
            </w:r>
          </w:p>
        </w:tc>
        <w:tc>
          <w:tcPr>
            <w:tcW w:type="dxa" w:w="960"/>
          </w:tcPr>
          <w:p>
            <w:r>
              <w:t>0.01894</w:t>
            </w:r>
          </w:p>
        </w:tc>
        <w:tc>
          <w:tcPr>
            <w:tcW w:type="dxa" w:w="960"/>
          </w:tcPr>
          <w:p>
            <w:r>
              <w:t>0.00233</w:t>
            </w:r>
          </w:p>
        </w:tc>
        <w:tc>
          <w:tcPr>
            <w:tcW w:type="dxa" w:w="960"/>
          </w:tcPr>
          <w:p>
            <w:r>
              <w:t>0.058</w:t>
            </w:r>
          </w:p>
        </w:tc>
        <w:tc>
          <w:tcPr>
            <w:tcW w:type="dxa" w:w="960"/>
          </w:tcPr>
          <w:p>
            <w:r>
              <w:t>0.058</w:t>
            </w:r>
          </w:p>
        </w:tc>
      </w:tr>
      <w:tr>
        <w:tc>
          <w:tcPr>
            <w:tcW w:type="dxa" w:w="960"/>
          </w:tcPr>
          <w:p>
            <w:r>
              <w:t>Prognostic_score</w:t>
            </w:r>
          </w:p>
        </w:tc>
        <w:tc>
          <w:tcPr>
            <w:tcW w:type="dxa" w:w="960"/>
          </w:tcPr>
          <w:p>
            <w:r>
              <w:t>0.01374</w:t>
            </w:r>
          </w:p>
        </w:tc>
        <w:tc>
          <w:tcPr>
            <w:tcW w:type="dxa" w:w="960"/>
          </w:tcPr>
          <w:p>
            <w:r>
              <w:t>0.00245</w:t>
            </w:r>
          </w:p>
        </w:tc>
        <w:tc>
          <w:tcPr>
            <w:tcW w:type="dxa" w:w="960"/>
          </w:tcPr>
          <w:p>
            <w:r>
              <w:t>0.230</w:t>
            </w:r>
          </w:p>
        </w:tc>
        <w:tc>
          <w:tcPr>
            <w:tcW w:type="dxa" w:w="960"/>
          </w:tcPr>
          <w:p>
            <w:r>
              <w:t>0.145</w:t>
            </w:r>
          </w:p>
        </w:tc>
        <w:tc>
          <w:tcPr>
            <w:tcW w:type="dxa" w:w="960"/>
          </w:tcPr>
          <w:p>
            <w:r>
              <w:t>0.01464</w:t>
            </w:r>
          </w:p>
        </w:tc>
        <w:tc>
          <w:tcPr>
            <w:tcW w:type="dxa" w:w="960"/>
          </w:tcPr>
          <w:p>
            <w:r>
              <w:t>0.00189</w:t>
            </w:r>
          </w:p>
        </w:tc>
        <w:tc>
          <w:tcPr>
            <w:tcW w:type="dxa" w:w="960"/>
          </w:tcPr>
          <w:p>
            <w:r>
              <w:t>0.272</w:t>
            </w:r>
          </w:p>
        </w:tc>
        <w:tc>
          <w:tcPr>
            <w:tcW w:type="dxa" w:w="960"/>
          </w:tcPr>
          <w:p>
            <w:r>
              <w:t>0.064</w:t>
            </w:r>
          </w:p>
        </w:tc>
      </w:tr>
      <w:tr>
        <w:tc>
          <w:tcPr>
            <w:tcW w:type="dxa" w:w="960"/>
          </w:tcPr>
          <w:p>
            <w:r>
              <w:t>2B_clustering</w:t>
            </w:r>
          </w:p>
        </w:tc>
        <w:tc>
          <w:tcPr>
            <w:tcW w:type="dxa" w:w="960"/>
          </w:tcPr>
          <w:p>
            <w:r>
              <w:t>0.01684</w:t>
            </w:r>
          </w:p>
        </w:tc>
        <w:tc>
          <w:tcPr>
            <w:tcW w:type="dxa" w:w="960"/>
          </w:tcPr>
          <w:p>
            <w:r>
              <w:t>0.00270</w:t>
            </w:r>
          </w:p>
        </w:tc>
        <w:tc>
          <w:tcPr>
            <w:tcW w:type="dxa" w:w="960"/>
          </w:tcPr>
          <w:p>
            <w:r>
              <w:t>0.056</w:t>
            </w:r>
          </w:p>
        </w:tc>
        <w:tc>
          <w:tcPr>
            <w:tcW w:type="dxa" w:w="960"/>
          </w:tcPr>
          <w:p>
            <w:r>
              <w:t>0.159</w:t>
            </w:r>
          </w:p>
        </w:tc>
        <w:tc>
          <w:tcPr>
            <w:tcW w:type="dxa" w:w="960"/>
          </w:tcPr>
          <w:p>
            <w:r>
              <w:t>0.01773</w:t>
            </w:r>
          </w:p>
        </w:tc>
        <w:tc>
          <w:tcPr>
            <w:tcW w:type="dxa" w:w="960"/>
          </w:tcPr>
          <w:p>
            <w:r>
              <w:t>0.00200</w:t>
            </w:r>
          </w:p>
        </w:tc>
        <w:tc>
          <w:tcPr>
            <w:tcW w:type="dxa" w:w="960"/>
          </w:tcPr>
          <w:p>
            <w:r>
              <w:t>0.118</w:t>
            </w:r>
          </w:p>
        </w:tc>
        <w:tc>
          <w:tcPr>
            <w:tcW w:type="dxa" w:w="960"/>
          </w:tcPr>
          <w:p>
            <w:r>
              <w:t>0.064</w:t>
            </w:r>
          </w:p>
        </w:tc>
      </w:tr>
    </w:tbl>
    <w:p>
      <w:pPr>
        <w:spacing w:before="240"/>
      </w:pPr>
      <w:r/>
      <w:r>
        <w:rPr>
          <w:i/>
        </w:rPr>
        <w:t>Table 3. Linear versus non-linear Z-to-X mapping: random-effects ATE bias and relative bias reduction (n=2000, K=5, z=1.0, zx=1.0).</w:t>
      </w:r>
      <w:r/>
    </w:p>
    <w:p>
      <w:pPr>
        <w:spacing w:after="120"/>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jc w:val="center"/>
      </w:pPr>
      <w:r>
        <w:rPr>
          <w:b/>
        </w:rPr>
        <w:t>Figure 5. Non-linear Z-&gt;X robustness: random-effects ATE bias reduction (n=2000, K=5).</w:t>
      </w:r>
    </w:p>
    <w:p>
      <w:pPr>
        <w:pStyle w:val="Heading2"/>
      </w:pPr>
      <w:r>
        <w:t xml:space="preserve">Empirical null distribution and </w:t>
      </w:r>
      <m:oMath>
        <m:sSub>
          <m:e>
            <m:r>
              <m:t xml:space="preserve">W</m:t>
            </m:r>
          </m:e>
          <m:sub>
            <m:r>
              <m:t xml:space="preserve">est</m:t>
            </m:r>
          </m:sub>
        </m:sSub>
      </m:oMath>
      <w:r>
        <w:t xml:space="preserve"> misspecification</w:t>
      </w:r>
    </w:p>
    <w:p>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pPr>
      <w:r>
        <w:t>4. Discussion</w:t>
      </w:r>
    </w:p>
    <w:p>
      <w:pPr>
        <w:pStyle w:val="Heading2"/>
      </w:pPr>
      <w:r>
        <w:t>Principal findings</w:t>
      </w:r>
    </w:p>
    <w:p>
      <w:r>
        <w:t>This study frames IONE as an exploratory diagnostic for hidden effect modification in IPD meta-analysis. C1 and W signal whether a pooled IPD contains hidden effect modification: methods that captured more true Z structure produced lower C1 and higher W. Extraction of the true partition was harder (Oracle ARI 0.372; best non-Oracle 1B_residual 0.032), but the best data-driven method reduced crude ATE bias from 0.01865 to 0.00816 (relative reduction 0.563) with DerSimonian-Laird pooling. This shows that stratum-specific effects should be allowed to vary once incoherence is flagged.</w:t>
      </w:r>
    </w:p>
    <w:p>
      <w:pPr>
        <w:pStyle w:val="Heading2"/>
      </w:pPr>
      <w:r>
        <w:t>Detection versus extraction</w:t>
      </w:r>
    </w:p>
    <w:p>
      <w:r>
        <w:t xml:space="preserve">Detection asks whether the pooled population is incoherent; C1 and W address this without requiring hidden subgroups to be specified. If C1 is low and </w:t>
      </w:r>
      <m:oMath>
        <m:sSub>
          <m:e>
            <m:r>
              <m:t xml:space="preserve">W</m:t>
            </m:r>
          </m:e>
          <m:sub>
            <m:r>
              <m:t xml:space="preserve">est</m:t>
            </m:r>
          </m:sub>
        </m:sSub>
      </m:oMath>
      <w:r>
        <w:t xml:space="preserve"> is low, the marginal summary should be interpreted cautiously. Extraction attempts to recover hidden subgroups, but it is much harder than detection. IONE's practical value therefore lies in detection and partial ATE improvement, not in perfect confounding adjustment.</w:t>
      </w:r>
    </w:p>
    <w:p>
      <w:pPr>
        <w:pStyle w:val="Heading2"/>
      </w:pPr>
      <w:r>
        <w:t>Comparison with existing methods</w:t>
      </w:r>
    </w:p>
    <w:p>
      <w:r>
        <w:t xml:space="preserve">Propensity-score </w:t>
      </w:r>
      <w:r>
        <w:rPr>
          <w:vertAlign w:val="superscript"/>
        </w:rPr>
        <w:t>[16]</w:t>
      </w:r>
      <w:r>
        <w:t xml:space="preserve"> and prognostic-score </w:t>
      </w:r>
      <w:r>
        <w:rPr>
          <w:vertAlign w:val="superscript"/>
        </w:rPr>
        <w:t>[17]</w:t>
      </w:r>
      <w:r>
        <w:t xml:space="preserve"> methods adjust for measured confounders but do not detect unmeasured population structure. The high-dimensional propensity-score algorithm </w:t>
      </w:r>
      <w:r>
        <w:rPr>
          <w:vertAlign w:val="superscript"/>
        </w:rPr>
        <w:t>[20]</w:t>
      </w:r>
      <w:r>
        <w:t xml:space="preserve"> uses proxies to improve propensity-score estimation, not to identify subgroups or report a coherence diagnostic. Latent-class models </w:t>
      </w:r>
      <w:r>
        <w:rPr>
          <w:vertAlign w:val="superscript"/>
        </w:rPr>
        <w:t>[22]</w:t>
      </w:r>
      <w:r>
        <w:t xml:space="preserve"> seek hidden subgroups but require strong distributional assumptions and do not provide a transparent between-stratum heterogeneity statistic like C1.</w:t>
      </w:r>
    </w:p>
    <w:p>
      <w:pPr>
        <w:pStyle w:val="Heading2"/>
      </w:pPr>
      <w:r>
        <w:t>Relevance to Biostatistics readers</w:t>
      </w:r>
    </w:p>
    <w:p>
      <w:r>
        <w:t xml:space="preserve">IONE sits between heterogeneity diagnostics and model-based effect modification in IPD meta-analysis. C1 re-purposes </w:t>
      </w:r>
      <m:oMath>
        <m:sSup>
          <m:e>
            <m:r>
              <m:t xml:space="preserve">I</m:t>
            </m:r>
          </m:e>
          <m:sup>
            <m:r>
              <m:t xml:space="preserve">2</m:t>
            </m:r>
          </m:sup>
        </m:sSup>
      </m:oMath>
      <w:r>
        <w:t xml:space="preserve"> for discovered strata and W connects the partition to explained CATE variance; both are descriptive sensitivity flags, not inferential tests. The empirical null distribution (Supplementary Table S5) calibrates the diagnostics under no true effect modification, and the misspecification sensitivity (Supplementary Table S6) checks robustness of </w:t>
      </w:r>
      <m:oMath>
        <m:sSub>
          <m:e>
            <m:r>
              <m:t xml:space="preserve">W</m:t>
            </m:r>
          </m:e>
          <m:sub>
            <m:r>
              <m:t xml:space="preserve">est</m:t>
            </m:r>
          </m:sub>
        </m:sSub>
      </m:oMath>
      <w:r>
        <w:t xml:space="preserve"> to the outcome-model specification. IONE is best used alongside conventional IPD meta-analysis, with standard adjustment applied within strata.</w:t>
      </w:r>
    </w:p>
    <w:p>
      <w:pPr>
        <w:pStyle w:val="Heading2"/>
      </w:pPr>
      <w:r>
        <w:t>Strengths and limitations</w:t>
      </w:r>
    </w:p>
    <w:p>
      <w:r/>
      <w:r>
        <w:rPr>
          <w:b/>
        </w:rPr>
        <w:t>Strengths.</w:t>
      </w:r>
      <w:r>
        <w:t xml:space="preserve"> The study followed ADEMP </w:t>
      </w:r>
      <w:r>
        <w:rPr>
          <w:vertAlign w:val="superscript"/>
        </w:rPr>
        <w:t>[23]</w:t>
      </w:r>
      <w:r>
        <w:t>, reported the data-generating mechanism and estimands transparently, and generated all numerical results from version-controlled repository scripts.</w:t>
      </w:r>
    </w:p>
    <w:p>
      <w:pPr>
        <w:spacing w:before="240"/>
      </w:pPr>
      <w:r/>
      <w:r>
        <w:rPr>
          <w:b/>
        </w:rPr>
        <w:t>Limitations.</w:t>
      </w:r>
      <w:r>
        <w:t xml:space="preserve"> The primary scenario used n=2000 and a moderate Z-&gt;X trace; sensitivity analyses examined n=500 to 10 000, Z-to-Y and Z-to-X scales, and a non-linear mapping, but performance may vary with stronger/weaker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mislead (Supplementary Table S6). DerSimonian-Laird strata are not independent estimates, so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illustrate settings, not real-IPD validation.</w:t>
      </w:r>
    </w:p>
    <w:p>
      <w:pPr>
        <w:pStyle w:val="Heading1"/>
      </w:pPr>
      <w:r>
        <w:t>5. Conclusions</w:t>
      </w:r>
    </w:p>
    <w:p>
      <w:r>
        <w:t>IONE (Incoherence-Oriented Neutralisation and Extraction) is an exploratory diagnostic framework for hidden effect modification in IPD meta-analysis. Monte Carlo simulation and semi-synthetic examples show that the C1 and W diagnostics can flag incoherence; when hidden variables leave strong traces in measured covariates, stratification can partially reduce ATE bias, but extraction of the true hidden partition remains difficult. The diagnostics should be reported alongside conventional meta-analytic models and covariate adjustment, and should not be used as a replacement for rigorous causal inference. We recommend that coherence assessment using C1 and W be considered as a standard sensitivity step in IPD meta-analysis reporting.</w:t>
      </w:r>
    </w:p>
    <w:p>
      <w:r>
        <w:br w:type="page"/>
      </w:r>
    </w:p>
    <w:p>
      <w:pPr>
        <w:pStyle w:val="Heading1"/>
      </w:pPr>
      <w:r>
        <w:t>Declarations</w:t>
      </w:r>
    </w:p>
    <w:p>
      <w:pPr>
        <w:pStyle w:val="Heading2"/>
      </w:pPr>
      <w:r>
        <w:t>Ethics approval and consent to participate</w:t>
      </w:r>
    </w:p>
    <w:p>
      <w:r>
        <w:t>Not applicable. This study used simulated data and publicly available aggregate statistics only.</w:t>
      </w:r>
    </w:p>
    <w:p>
      <w:pPr>
        <w:pStyle w:val="Heading2"/>
      </w:pPr>
      <w:r>
        <w:t>Consent for publication</w:t>
      </w:r>
    </w:p>
    <w:p>
      <w:r>
        <w:t>Not applicable.</w:t>
      </w:r>
    </w:p>
    <w:p>
      <w:pPr>
        <w:pStyle w:val="Heading2"/>
      </w:pPr>
      <w:r>
        <w:t>Availability of data and materials</w:t>
      </w:r>
    </w:p>
    <w:p>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3.11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pPr>
      <w:r>
        <w:t>Competing interests</w:t>
      </w:r>
    </w:p>
    <w:p>
      <w:r>
        <w:t>The authors declare that they have no competing interests.</w:t>
      </w:r>
    </w:p>
    <w:p>
      <w:pPr>
        <w:pStyle w:val="Heading2"/>
      </w:pPr>
      <w:r>
        <w:t>Funding</w:t>
      </w:r>
    </w:p>
    <w:p>
      <w:r>
        <w:t>No external funding supported this work.</w:t>
      </w:r>
    </w:p>
    <w:p>
      <w:pPr>
        <w:pStyle w:val="Heading2"/>
      </w:pPr>
      <w:r>
        <w:t>Authors' contributions (CRediT taxonomy)</w:t>
      </w:r>
    </w:p>
    <w:p>
      <w:r>
        <w:t>Onishi Tatsuki: Conceptualisation, methodology, software, formal analysis, writing – original draft, writing – review and editing, visualisation.</w:t>
      </w:r>
    </w:p>
    <w:p>
      <w:pPr>
        <w:pStyle w:val="Heading2"/>
      </w:pPr>
      <w:r>
        <w:t>Acknowledgements</w:t>
      </w:r>
    </w:p>
    <w:p>
      <w:r>
        <w:t>Not applicable.</w:t>
      </w:r>
    </w:p>
    <w:p>
      <w:pPr>
        <w:pStyle w:val="Heading2"/>
      </w:pPr>
      <w:r>
        <w:t>Supplementary materials</w:t>
      </w:r>
    </w:p>
    <w:p>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biostatistics_supplementary_v3.docx</w:t>
      </w:r>
      <w:r>
        <w:t>.</w:t>
      </w:r>
    </w:p>
    <w:p>
      <w:pPr>
        <w:pStyle w:val="Heading2"/>
      </w:pPr>
      <w:r>
        <w:t>Artificial intelligence</w:t>
      </w:r>
    </w:p>
    <w:p>
      <w:r>
        <w:t>Manuscript text, Python code, and some analyses were drafted or revised using large language models (OpenAI GPT-4 and GPT-4o, accessed August 2025 through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r>
        <w:br w:type="page"/>
      </w:r>
    </w:p>
    <w:p>
      <w:pPr>
        <w:pStyle w:val="Heading1"/>
      </w:pPr>
      <w:r>
        <w:t>References</w:t>
      </w:r>
    </w:p>
    <w:p>
      <w:r>
        <w:t>[1] Borenstein M, Hedges LV, Higgins JPT, Rothstein HR. Introduction to Meta-Analysis. Chichester: John Wiley &amp; Sons; 2009.</w:t>
      </w:r>
    </w:p>
    <w:p>
      <w:r>
        <w:t>[2] Riley RD, Lambert PC, Abo-Zaid G. Meta-analysis of individual participant data: rationale, conduct, and reporting. BMJ. 2010;340:c221.</w:t>
      </w:r>
    </w:p>
    <w:p>
      <w:r>
        <w:t>[3] Simmonds MC, Higgins JPT, Stewart LA, Tierney JF, Clarke MJ, Thompson SG. Meta-analysis of individual patient data from randomized trials: a review of methods used in practice. Clin Trials. 2005;2(3):209–217.</w:t>
      </w:r>
    </w:p>
    <w:p>
      <w:r>
        <w:t>[4] DerSimonian R, Laird N. Meta-analysis in clinical trials. Control Clin Trials. 1986;7(3):177–188.</w:t>
      </w:r>
    </w:p>
    <w:p>
      <w:r>
        <w:t>[5] Higgins JPT, Thompson SG. Quantifying heterogeneity in a meta-analysis. Stat Med. 2002;21(11):1539–1558.</w:t>
      </w:r>
    </w:p>
    <w:p>
      <w:r>
        <w:t>[6] Riley RD, Higgins JPT, Deeks JJ. Interpretation of random effects meta-analyses. BMJ. 2011;342:d549.</w:t>
      </w:r>
    </w:p>
    <w:p>
      <w:r>
        <w:t>[7] Pearl J. Causality. 2nd ed. Cambridge: Cambridge University Press; 2009.</w:t>
      </w:r>
    </w:p>
    <w:p>
      <w:r>
        <w:t>[8] Greenland S, Robins JM, Pearl J. Confounding and collapsibility in causal inference. Stat Sci. 1999;14(1):29–46.</w:t>
      </w:r>
    </w:p>
    <w:p>
      <w:r>
        <w:t>[9] Simpson EH. The interpretation of interaction in contingency tables. J R Stat Soc Ser B. 1951;13(2):238–241.</w:t>
      </w:r>
    </w:p>
    <w:p>
      <w:r>
        <w:t>[10] Rojanaworarit C. Misleading epidemiological and statistical evidence in the presence of Simpson's paradox: an illustrative study using simulated scenarios. J Med Life. 2020;13(1):37–44.</w:t>
      </w:r>
    </w:p>
    <w:p>
      <w:r>
        <w:t>[11] Charig CR, Webb DR, Payne SR, Wickham JE. Comparison of treatment of renal calculi by open surgery, percutaneous nephrolithotomy, and extracorporeal shockwave lithotripsy. BMJ. 1986;292(6521):879–882.</w:t>
      </w:r>
    </w:p>
    <w:p>
      <w:r>
        <w:t>[12] Bickel PJ, Hammel EA, O'Connell JW. Sex bias in graduate admissions: data from Berkeley. Science. 1975;187(4175):398–404.</w:t>
      </w:r>
    </w:p>
    <w:p>
      <w:r>
        <w:t>[13] von Kügelgen J, Gresele L, Schölkopf B. Simpson's paradox in Covid-19 case fatality rates: a mediation analysis of age-related causal effects. IEEE Trans Artif Intell. 2021;2(1):18–27.</w:t>
      </w:r>
    </w:p>
    <w:p>
      <w:r>
        <w:t>[14] Morris JS. Israeli data: how can efficacy vs. severe disease be strong when 60% of hospitalized are vaccinated? 2021. Available from: https://www.covid-datascience.com/post/israeli-data-how-can-efficacy-vs-severe-disease-be-strong-when-60-of-hospitalized-are-vaccinated (accessed 10 August 2026).</w:t>
      </w:r>
    </w:p>
    <w:p>
      <w:r>
        <w:t>[15] Appleton DR, French NR, Vanderpump MP. Ignoring a covariate: an example of Simpson's paradox. Am Stat. 1996;50(4):340–341.</w:t>
      </w:r>
    </w:p>
    <w:p>
      <w:r>
        <w:t>[16] Rosenbaum PR, Rubin DB. The central role of the propensity score in observational studies for causal effects. Biometrika. 1983;70(1):41–55.</w:t>
      </w:r>
    </w:p>
    <w:p>
      <w:r>
        <w:t>[17] Hansen BB. The prognostic analogue of the propensity score. Biometrika. 2008;95(2):481–488.</w:t>
      </w:r>
    </w:p>
    <w:p>
      <w:r>
        <w:t>[18] Miettinen OS. Stratification by a multivariate confounder score. Am J Epidemiol. 1976;104(6):609–620.</w:t>
      </w:r>
    </w:p>
    <w:p>
      <w:r>
        <w:t>[19] Angrist JD, Imbens GW, Rubin DB. Identification of causal effects using instrumental variables. J Am Stat Assoc. 1996;91(434):444–455.</w:t>
      </w:r>
    </w:p>
    <w:p>
      <w:r>
        <w:t>[20] Schneeweiss S, Rassen JA, Glynn RJ, Avorn J, Mogun H, Brookhart MA. High-dimensional propensity score adjustment in studies of treatment effects using health care claims data. Epidemiology. 2009;20(4):512–522.</w:t>
      </w:r>
    </w:p>
    <w:p>
      <w:r>
        <w:t>[21] Tchetgen Tchetgen EJ, Ying A, Cui Y, Shi X, Miao W. An introduction to proximal causal inference. Stat Sci. 2024;39(3):375–390.</w:t>
      </w:r>
    </w:p>
    <w:p>
      <w:r>
        <w:t>[22] McLachlan GJ, Peel D. Finite Mixture Models. New York: Wiley; 2000.</w:t>
      </w:r>
    </w:p>
    <w:p>
      <w:r>
        <w:t>[23] Morris TP, White IR, Crowther MJ. Using simulation studies to evaluate statistical methods. Stat Med. 2019;38(11):2074–2102.</w:t>
      </w:r>
    </w:p>
    <w:p>
      <w:r>
        <w:t>[24] Hubert L, Arabie P. Comparing partitions. J Classif. 1985;2(1):193–218.</w:t>
      </w:r>
    </w:p>
    <w:p>
      <w:r>
        <w:t>[25] Morris JS. Tracking vaccine effectiveness in an evolving pandemic, countering misleading hot takes and epidemiologic fallacies. Am J Epidemiol. 2025;194(3):898-907.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