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Incoherence-Oriented Neutralisation and Extraction for hidden effect modification in individual participant data meta-analysis: a simulation study of stratification-based extraction</w:t>
      </w:r>
    </w:p>
    <w:p>
      <w:r>
        <w:br w:type="page"/>
      </w:r>
    </w:p>
    <w:p>
      <w:pPr>
        <w:pStyle w:val="Heading1"/>
      </w:pPr>
      <w:r>
        <w:t>Abstract</w:t>
      </w:r>
    </w:p>
    <w:p>
      <w:r/>
      <w:r>
        <w:rPr>
          <w:b/>
        </w:rPr>
        <w:t>Background:</w:t>
      </w:r>
      <w:r>
        <w:t xml:space="preserve"> Random-effects meta-analyses report an average treatment effect and assume that between-study heterogeneity has been adequately modelled. When an individual participant data (IPD) meta-analysis contains hidden effect modifiers, a marginal summary can be non-robust. We propose Incoherence-Oriented Neutralisation and Extraction (IONE), an exploratory diagnostic toolkit for hidden effect modification in pooled IPD. </w:t>
      </w:r>
      <w:r>
        <w:rPr>
          <w:b/>
        </w:rPr>
        <w:t>Methods:</w:t>
      </w:r>
      <w:r>
        <w:t xml:space="preserve"> We simulated an IPD meta-analysis with 10 studies, a binary treatment and outcome, measured covariates carrying traces of an unmeasured modifier, and study-level variation in baseline risk and treatment prevalence. Proposed methods and active comparators stratified the pooled IPD; stratum-specific risk differences were synthesised with fixed-effect and DerSimonian-Laird random-effects meta-analysis. We report ARI, C1 (between-stratum heterogeneity), </w:t>
      </w:r>
      <m:oMath>
        <m:sSub>
          <m:e>
            <m:r>
              <m:t xml:space="preserve">W</m:t>
            </m:r>
          </m:e>
          <m:sub>
            <m:r>
              <m:t xml:space="preserve">true</m:t>
            </m:r>
          </m:sub>
        </m:sSub>
      </m:oMath>
      <w:r>
        <w:t xml:space="preserve">/</w:t>
      </w:r>
      <m:oMath>
        <m:sSub>
          <m:e>
            <m:r>
              <m:t xml:space="preserve">W</m:t>
            </m:r>
          </m:e>
          <m:sub>
            <m:r>
              <m:t xml:space="preserve">est</m:t>
            </m:r>
          </m:sub>
        </m:sSub>
      </m:oMath>
      <w:r>
        <w:t xml:space="preserve"> (within-stratum homogeneity) and ATE bias reduction, with Monte Carlo standard errors. </w:t>
      </w:r>
      <w:r>
        <w:rPr>
          <w:b/>
        </w:rPr>
        <w:t>Results:</w:t>
      </w:r>
      <w:r>
        <w:t xml:space="preserve"> In the primary scenario (n=2000, 10 studies, K=5 strata), the best method was 1B_residual (ARI 0.372;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agreement with the true hidden structure remained modest. </w:t>
      </w:r>
      <w:r>
        <w:rPr>
          <w:b/>
        </w:rPr>
        <w:t>Conclusions:</w:t>
      </w:r>
      <w:r>
        <w:t xml:space="preserve"> IONE is a transparent, exploratory diagnostic for hidden effect modification in IPD meta-analyses, to be reported alongside conventional models and covariate adjustment.</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Meta-analysis combines treatment-effect estimates from related studies and is central to evidence-based medicine and policy (Borenstein et al. 2009). In an individual participant data (IPD) meta-analysis, the original participant-level data are collected and re-analysed, which preserves covariate and subgroup information and can improve power for treatment-covariate interactions (Riley et al. 2010)(Simmonds et al. 2005). A random-effects analysis is widely recommended when between-study heterogeneity is suspected (DerSimonian and Laird 1986)(Higgins and Thompson 2002)(Riley et al. 2011).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(Pearl 2009)(Greenland et al. 1999).</w:t>
      </w:r>
    </w:p>
    <w:p>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w:t>
      </w:r>
    </w:p>
    <w:p>
      <w:r>
        <w:t>Observational studies, particularly retrospective cohort studies, are indispensable for generating real-world evidence on treatment effects and risk factors when randomised controlled trials are infeasible or unethical (Hammerton and Munafò 2021)(Hernán and Robins 2020). However, because treatment assignment is not under the investigator's control, these studies are inherently susceptible to multiple forms of bias arising from a single root cause: the study population may harbour hidden subpopulations with distinct characteristics that differentially influence both exposure and outcome. This hidden population structure gives rise to confounding bias, where unmeasured variables that affect both exposure and outcome create spurious associations (VanderWeele and Shpitser 2013); Simpson's paradox, where the direction of an association observed in the aggregate reverses within subgroups (Simpson 1951)(Rojanaworarit 2020); undetected effect modification, where treatment effects genuinely differ across subpopulations but are reported as a single "average" effect that may not apply to any individual subgroup (VanderWeele and Knol 2014); the ecological fallacy, where aggregate-level associations are inappropriately generalised to individuals (Robinson 1950); and non-collapsibility, a mathematical property by which non-linear effect measures such as the odds ratio yield marginal estimates that differ from conditional estimates even in the absence of confounding (Greenland et al. 1999).</w:t>
      </w:r>
    </w:p>
    <w:p>
      <w:r>
        <w:t xml:space="preserve">These biases are not merely theoretical concerns. Simpson's paradox has been documented in landmark studies across medicine and social science: kidney stone treatment comparisons where the inferior treatment appeared superior in aggregate (Charig et al. 1986), university admissions data where apparent gender discrimination reversed at the departmental level (Bickel et al. 1975), COVID-19 case fatality rate comparisons that were confounded by national differences in age distributions (von Kügelgen et al. 2021), vaccine effectiveness evaluations that appeared to show vaccine failure due to age-related confounding (Morris 2021), and smoking–mortality studies where smokers appeared to have lower mortality due to confounding by age (Appleton et al. 1996).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(Simpson 1951)(Rojanaworarit 2020).</w:t>
      </w:r>
    </w:p>
    <w:p>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(Rosenbaum and Rubin 1983). The prognostic score predicts the outcome under no treatment and provides an alternative basis for stratification (Hansen 2008)(Miettinen 1976). The disease risk score (DRS) constructs an outcome prediction model using untreated subjects only (Miettinen 1976). Instrumental variable methods exploit variables that affect treatment but not the outcome directly (Angrist et al. 1996). More recently, the high-dimensional propensity score (hdPS) algorithm automatically extracts thousands of candidate proxy variables from claims data to approximate unmeasured confounding (Schneeweiss et al. 2009)(Rassen and Schneeweiss 2012).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(Schneeweiss et al. 2009)(Wyss et al. 2018).</w:t>
      </w:r>
    </w:p>
    <w:p>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(Schneeweiss et al. 2009). Proximal causal inference formalises the use of proxy variables for identification of causal effects in the presence of unmeasured confounding (Tchetgen Tchetgen et al. 2024). Latent class analysis and finite mixture models seek to identify unobserved subgroups from patterns in observed variables (McLachlan and Peel 2000).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baseline characteristics tables (Table 1) providing only descriptive summaries that cannot formally test for hidden subgroup structure (Hayes-Larson et al. 2019).</w:t>
      </w:r>
    </w:p>
    <w:p>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r>
        <w:t>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I² heterogeneity statistic (Higgins and Thompson 2002) applied to stratum-specific log odds ratios, and W, the proportion of total conditional average treatment effect (CATE) variance explained by the stratification.</w:t>
      </w:r>
    </w:p>
    <w:p>
      <w:pPr>
        <w:pStyle w:val="Heading1"/>
      </w:pPr>
      <w:r>
        <w:t>2. Methods</w:t>
      </w:r>
    </w:p>
    <w:p>
      <w:r>
        <w:t>This simulation study is reported following the ADEMP framework (Aims, Data-generating mechanisms, Estimands, Methods, Performance measures) as recommended by Morris, White, and Crowther (Morris et al. 2019). All analyses were conducted in Python 3.11.</w:t>
      </w:r>
    </w:p>
    <w:p>
      <w:pPr>
        <w:pStyle w:val="Heading2"/>
      </w:pPr>
      <w:r>
        <w:t>Aims</w:t>
      </w:r>
    </w:p>
    <w:p>
      <w:r>
        <w:t>The aims of the simulation study were:</w:t>
      </w:r>
    </w:p>
    <w:p>
      <w:pPr>
        <w:pStyle w:val="ListNumber"/>
      </w:pPr>
      <w:r>
        <w:t>To evaluate whether stratification of a pooled IPD based solely on measured covariates can recover hidden subgroup structure defined by unmeasured effect modifiers or confounders.</w:t>
      </w:r>
    </w:p>
    <w:p>
      <w:pPr>
        <w:pStyle w:val="ListNumber"/>
      </w:pPr>
      <w:r>
        <w:t>To compare the performance of outcome-informed IONE methods with outcome-free methods and with established comparators (propensity-score quintiles, Gaussian mixture model, prognostic-score stratification).</w:t>
      </w:r>
    </w:p>
    <w:p>
      <w:pPr>
        <w:pStyle w:val="ListNumber"/>
      </w:pPr>
      <w:r>
        <w:t>To assess the ability of C1 (between-stratum heterogeneity) and W (within-stratum CATE homogeneity) to diagnose hidden effect modification.</w:t>
      </w:r>
    </w:p>
    <w:p>
      <w:pPr>
        <w:pStyle w:val="ListNumber"/>
      </w:pPr>
      <w:r>
        <w:t>To quantify ATE bias reduction achieved by two-stage fixed-effect and DerSimonian-Laird random-effects synthesis of stratum-specific risk differences.</w:t>
      </w:r>
    </w:p>
    <w:p>
      <w:pPr>
        <w:pStyle w:val="ListNumber"/>
      </w:pPr>
      <w:r>
        <w:t>To identify the data-generating conditions under which the proposed diagnostics are most and least informative.</w:t>
      </w:r>
    </w:p>
    <w:p>
      <w:pPr>
        <w:pStyle w:val="Heading2"/>
      </w:pPr>
      <w:r>
        <w:t>IPD data-generating mechanism</w:t>
      </w:r>
    </w:p>
    <w:p>
      <w:pPr>
        <w:pStyle w:val="Heading3"/>
      </w:pPr>
      <w:r>
        <w:t>Causal structure</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the between-study variance in a random-effects meta-analysis (DerSimonian and Laird 1986).</w:t>
      </w:r>
    </w:p>
    <w:p>
      <w:r>
        <w:t>Each participant had three critical variables (Z1 continuous age-like, Z2 binary sex-like, Z3 ordered BMI-like)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Z-by-A interactions (effect modification). The true estimand was the population risk-difference average treatment effect (ATE), computed by averaging the true individual CATE over the super-population.</w:t>
      </w:r>
    </w:p>
    <w:p>
      <w:r>
        <w:t>The data-generating mechanism follows a causal directed acyclic graph. Study membership introduces heterogeneity in the intercepts for baseline risk and treatment prevalence; within each study, the same confounder-modifier Z generates measured covariates X, treatment A and outcome Y. This design mimics an IPD meta-analysis in which studies differ in case-mix and treatment use, yet a common unmeasured effect modifier is present. Full algebraic details and parameter values are given in the repository, and all scenarios were assigned fixed random seeds for reproducibility.</w:t>
      </w:r>
    </w:p>
    <w:p>
      <w:pPr>
        <w:pStyle w:val="Heading3"/>
      </w:pPr>
      <w:r>
        <w:t>Scenarios</w:t>
      </w:r>
    </w:p>
    <w:p>
      <w:r>
        <w:t>The primary scenario used n=2000 participants, 10 studies and K=5 strata, with a moderate Z-to-X trace, moderate outcome-event rate and moderate study-effect heterogeneity. To examine sensitivity to the number of strata, we repeated the simulation with K=3, 5 and 10 while keeping the total sample size and between-study heterogeneity fixed. Each scenario was replicated 50 times, and all random seeds were fixed so that the exact numerical results can be reproduced by running the repository scripts.</w:t>
      </w:r>
    </w:p>
    <w:p>
      <w:pPr>
        <w:pStyle w:val="Heading2"/>
      </w:pPr>
      <w:r>
        <w:t>Stratification methods</w:t>
      </w:r>
    </w:p>
    <w:p>
      <w:r>
        <w:t>Proposed IONE methods were divided into two families. Family 1 (outcome-informed) used the relationship between measured covariates and the outcome; Family 2 (outcome-free) used multivariate patterns in the covariate space alone.</w:t>
      </w:r>
    </w:p>
    <w:p>
      <w:pPr>
        <w:pStyle w:val="Heading3"/>
      </w:pPr>
      <w:r>
        <w:t>Family 1: Decision power-based methods (outcome-informed)</w:t>
      </w:r>
    </w:p>
    <w:p>
      <w:r>
        <w:t>These methods build a predictive model for Y using X alone, then stratify observations based on properties of the model output. Because unmeasured effect modifiers influence Y, residual or uncertainty patterns from the Y-on-X model may carry information about the hidden structure.</w:t>
      </w:r>
    </w:p>
    <w:p>
      <w:pPr>
        <w:pStyle w:val="ListBullet"/>
      </w:pPr>
      <w:r/>
      <w:r>
        <w:rPr>
          <w:b/>
        </w:rPr>
        <w:t>Method 1A (Predicted probability):</w:t>
      </w:r>
      <w:r>
        <w:t xml:space="preserve"> A logistic regression model predicting Y from X1-X10 is fitted. Observations are stratified by equal-frequency quantiles of the predicted probability p^. This is analogous to a prognostic score (Hansen 2008) estimated without access to the critical variables.</w:t>
      </w:r>
    </w:p>
    <w:p>
      <w:pPr>
        <w:pStyle w:val="ListBullet"/>
      </w:pPr>
      <w:r/>
      <w:r>
        <w:rPr>
          <w:b/>
        </w:rPr>
        <w:t>Method 1B (Residual):</w:t>
      </w:r>
      <w:r>
        <w:t xml:space="preserve"> From the same logistic regression, the absolute residual |Y - p^| is computed for each observation. Observations are stratified by quantiles of |Y - p^|. The rationale is that large residuals indicate observations whose outcome is poorly explained by measured covariates, suggesting a strong influence of unmeasured Z.</w:t>
      </w:r>
    </w:p>
    <w:p>
      <w:pPr>
        <w:pStyle w:val="ListBullet"/>
      </w:pPr>
      <w:r/>
      <w:r>
        <w:rPr>
          <w:b/>
        </w:rPr>
        <w:t>Method 1C (Cross-validated decision power):</w:t>
      </w:r>
      <w:r>
        <w:t xml:space="preserve"> A K-fold cross-validation procedure is used, where the model is trained on K-1 folds and predictions are generated for the held-out fold. This prevents overfitting and ensures that the score used for stratification is not a consequence of the same data that produced the predicted probabilities.</w:t>
      </w:r>
    </w:p>
    <w:p>
      <w:pPr>
        <w:pStyle w:val="Heading3"/>
      </w:pPr>
      <w:r>
        <w:t>Family 2: Feature score-based methods (outcome-free)</w:t>
      </w:r>
    </w:p>
    <w:p>
      <w:r>
        <w:t>These methods operate solely in the covariate space of X, without reference to Y.</w:t>
      </w:r>
    </w:p>
    <w:p>
      <w:pPr>
        <w:pStyle w:val="ListBullet"/>
      </w:pPr>
      <w:r/>
      <w:r>
        <w:rPr>
          <w:b/>
        </w:rPr>
        <w:t>Method 2A (PCA):</w:t>
      </w:r>
      <w:r>
        <w:t xml:space="preserve"> Principal component analysis is applied to the standardised X1-X10. The first principal component score (PC1) is used to stratify observations by equal-frequency quantiles.</w:t>
      </w:r>
    </w:p>
    <w:p>
      <w:pPr>
        <w:pStyle w:val="ListBullet"/>
      </w:pPr>
      <w:r/>
      <w:r>
        <w:rPr>
          <w:b/>
        </w:rPr>
        <w:t>Method 2B (Clustering):</w:t>
      </w:r>
      <w:r>
        <w:t xml:space="preserve"> K-means clustering is applied to the standardised X1-X10 with the number of clusters set to K. Cluster assignments define the strata directly.</w:t>
      </w:r>
    </w:p>
    <w:p>
      <w:pPr>
        <w:pStyle w:val="Heading3"/>
      </w:pPr>
      <w:r>
        <w:t>Active comparators and baselines</w:t>
      </w:r>
    </w:p>
    <w:p>
      <w:pPr>
        <w:pStyle w:val="ListBullet"/>
      </w:pPr>
      <w:r/>
      <w:r>
        <w:rPr>
          <w:b/>
        </w:rPr>
        <w:t>Propensity score (PS) quintiles:</w:t>
      </w:r>
      <w:r>
        <w:t xml:space="preserve"> The conditional probability of treatment A=1 given X is estimated by logistic regression, and subjects are stratified by quintiles of the estimated propensity score (Rosenbaum and Rubin 1983).</w:t>
      </w:r>
    </w:p>
    <w:p>
      <w:pPr>
        <w:pStyle w:val="ListBullet"/>
      </w:pPr>
      <w:r/>
      <w:r>
        <w:rPr>
          <w:b/>
        </w:rPr>
        <w:t>Gaussian mixture model (GMM):</w:t>
      </w:r>
      <w:r>
        <w:t xml:space="preserve"> A GMM with K components is fitted to the standardised X variables, and the posterior component assignment is used as the stratum label (McLachlan and Peel 2000).</w:t>
      </w:r>
    </w:p>
    <w:p>
      <w:pPr>
        <w:pStyle w:val="ListBullet"/>
      </w:pPr>
      <w:r/>
      <w:r>
        <w:rPr>
          <w:b/>
        </w:rPr>
        <w:t>Prognostic score stratification:</w:t>
      </w:r>
      <w:r>
        <w:t xml:space="preserve"> A logistic regression of Y on X is fitted using only the untreated (A=0) participants, predicted values are computed for all participants, and equal-frequency quantiles define the strata (Hansen 2008).</w:t>
      </w:r>
    </w:p>
    <w:p>
      <w:pPr>
        <w:pStyle w:val="ListBullet"/>
      </w:pPr>
      <w:r/>
      <w:r>
        <w:rPr>
          <w:b/>
        </w:rPr>
        <w:t>Oracle baselines:</w:t>
      </w:r>
      <w:r>
        <w:t xml:space="preserve"> K-means or quantiles on the standardised true Z-space provide an upper-bound reference for what could be achieved if the hidden variables were directly observed.</w:t>
      </w:r>
    </w:p>
    <w:p>
      <w:pPr>
        <w:pStyle w:val="ListBullet"/>
      </w:pPr>
      <w:r/>
      <w:r>
        <w:rPr>
          <w:b/>
        </w:rPr>
        <w:t>Random:</w:t>
      </w:r>
      <w:r>
        <w:t xml:space="preserve"> Observations are randomly assigned to K strata of equal size, providing a chance-level reference.</w:t>
      </w:r>
    </w:p>
    <w:p>
      <w:r>
        <w:t xml:space="preserve">All quantile-based methods used equal-frequency strata after score estimation. Logistic regression used l2 regularisation (C=1.0, lbfgs solver, max_iter=1000). K-means and the Gaussian mixture model used n_init=10 and fixed random seeds. Standardisation was applied before PCA, k-means and GMM. Outcome-informed methods used a 50/50 discovery/evaluation split: the discovery half was used to fit the Y~X model and derive stratum assignments, and the evaluation half was used to estimate stratum-specific effects, C1 and </w:t>
      </w:r>
      <m:oMath>
        <m:sSub>
          <m:e>
            <m:r>
              <m:t xml:space="preserve">W</m:t>
            </m:r>
          </m:e>
          <m:sub>
            <m:r>
              <m:t xml:space="preserve">est</m:t>
            </m:r>
          </m:sub>
        </m:sSub>
      </m:oMath>
      <w:r>
        <w:t xml:space="preserve">. Outcome-free methods used the full sample for both assignment and estimation.</w:t>
      </w:r>
    </w:p>
    <w:p>
      <w:pPr>
        <w:pStyle w:val="Heading2"/>
      </w:pPr>
      <w:r>
        <w:t>Synthesis of stratum-specific effects</w:t>
      </w:r>
    </w:p>
    <w:p>
      <w:r>
        <w:t xml:space="preserve">For each discovered stratum we computed the risk difference </w:t>
      </w:r>
      <m:oMath>
        <m:r>
          <m:t xml:space="preserve">P(Y=1|A=1) - P(Y=1|A=0)</m:t>
        </m:r>
      </m:oMath>
      <w:r>
        <w:t xml:space="preserve"> and its standard error. A two-stage fixed-effect summary was the stratum-size-weighted average of these risk differences. A DerSimonian-Laird random-effects summary added an estimate of between-stratum variance and re-weighted stratum estimates accordingly (DerSimonian and Laird 1986). We also report the resulting </w:t>
      </w:r>
      <m:oMath>
        <m:sSup>
          <m:e>
            <m:r>
              <m:t xml:space="preserve">τ</m:t>
            </m:r>
          </m:e>
          <m:sup>
            <m:r>
              <m:t xml:space="preserve">2</m:t>
            </m:r>
          </m:sup>
        </m:sSup>
      </m:oMath>
      <w:r>
        <w:t xml:space="preserve"> and </w:t>
      </w:r>
      <m:oMath>
        <m:sSup>
          <m:e>
            <m:r>
              <m:t xml:space="preserve">I</m:t>
            </m:r>
          </m:e>
          <m:sup>
            <m:r>
              <m:t xml:space="preserve">2</m:t>
            </m:r>
          </m:sup>
        </m:sSup>
      </m:oMath>
      <w:r>
        <w:t xml:space="preserve"> as summaries of between-stratum heterogeneity on the risk-difference scale. The random-effects synthesis treats discovered strata as studies in a conventional meta-analysis, allowing the stratum-specific effects to vary.</w:t>
      </w:r>
    </w:p>
    <w:p>
      <w:pPr>
        <w:pStyle w:val="Heading2"/>
      </w:pPr>
      <w:r>
        <w:t>Evaluation metrics</w:t>
      </w:r>
    </w:p>
    <w:p>
      <w:r>
        <w:t>For each method we report:</w:t>
      </w:r>
    </w:p>
    <w:p>
      <w:pPr>
        <w:pStyle w:val="ListBullet"/>
      </w:pPr>
      <w:r/>
      <w:r>
        <w:rPr>
          <w:b/>
        </w:rPr>
        <w:t>Adjusted Rand Index (ARI)</w:t>
      </w:r>
      <w:r>
        <w:t xml:space="preserve"> (Hubert and Arabie 1985): agreement between estimated strata and a constructed true-Z partition, corrected for chance. Range [-1, 1]; 1 = perfect agreement; 0 = chance level.</w:t>
      </w:r>
    </w:p>
    <w:p>
      <w:pPr>
        <w:pStyle w:val="ListBullet"/>
      </w:pPr>
      <m:oMath>
        <m:r>
          <m:t xml:space="preserve">C1 = 1 - </m:t>
        </m:r>
        <m:sSup>
          <m:e>
            <m:r>
              <m:t xml:space="preserve">I</m:t>
            </m:r>
          </m:e>
          <m:sup>
            <m:r>
              <m:t xml:space="preserve">2</m:t>
            </m:r>
          </m:sup>
        </m:sSup>
      </m:oMath>
      <w:r>
        <w:t xml:space="preserve">, where </w:t>
      </w:r>
      <m:oMath>
        <m:sSup>
          <m:e>
            <m:r>
              <m:t xml:space="preserve">I</m:t>
            </m:r>
          </m:e>
          <m:sup>
            <m:r>
              <m:t xml:space="preserve">2</m:t>
            </m:r>
          </m:sup>
        </m:sSup>
      </m:oMath>
      <w:r>
        <w:t xml:space="preserve"> is the heterogeneity statistic (Higgins and Thompson 2002) applied to stratum-specific log odds ratios of A on Y. Lower C1 indicates stronger between-stratum heterogeneity (an incoherent pooled population); higher C1 indicates more homogeneous effects (coherent strata).</w:t>
      </w:r>
    </w:p>
    <w:p>
      <w:pPr>
        <w:pStyle w:val="ListBullet"/>
      </w:pPr>
      <m:oMath>
        <m:sSub>
          <m:e>
            <m:r>
              <m:t xml:space="preserve">W</m:t>
            </m:r>
          </m:e>
          <m:sub>
            <m:r>
              <m:t xml:space="preserve">true</m:t>
            </m:r>
          </m:sub>
        </m:sSub>
      </m:oMath>
      <w:r>
        <w:t xml:space="preserve"> and </w:t>
      </w:r>
      <m:oMath>
        <m:sSub>
          <m:e>
            <m:r>
              <m:t xml:space="preserve">W</m:t>
            </m:r>
          </m:e>
          <m:sub>
            <m:r>
              <m:t xml:space="preserve">est</m:t>
            </m:r>
          </m:sub>
        </m:sSub>
      </m:oMath>
      <w:r>
        <w:t xml:space="preserve">: the proportion of total CATE variance explained by the stratification, computed using either the true individual CATE (simulation-only) or an estimated CATE from a flexible </w:t>
      </w:r>
      <m:oMath>
        <m:r>
          <m:t xml:space="preserve">Y ~ X + A + X×A</m:t>
        </m:r>
      </m:oMath>
      <w:r>
        <w:t xml:space="preserve"> logistic model (operational diagnostic).</w:t>
      </w:r>
    </w:p>
    <w:p>
      <w:pPr>
        <w:pStyle w:val="ListBullet"/>
      </w:pPr>
      <w:r/>
      <w:r>
        <w:rPr>
          <w:b/>
        </w:rPr>
        <w:t>ATE bias reduction</w:t>
      </w:r>
      <w:r>
        <w:t xml:space="preserve"> on the risk-difference scale, reported as the absolute difference </w:t>
      </w:r>
      <m:oMath>
        <m:r>
          <m:t xml:space="preserve">|bias_crude| - |bias_stratified|</m:t>
        </m:r>
      </m:oMath>
      <w:r>
        <w:t xml:space="preserve"> and </w:t>
      </w:r>
      <m:oMath>
        <m:r>
          <m:t xml:space="preserve">|bias_crude| - |bias_re|</m:t>
        </m:r>
      </m:oMath>
      <w:r>
        <w:t xml:space="preserve">, and as the relative ratio </w:t>
      </w:r>
      <m:oMath>
        <m:r>
          <m:t xml:space="preserve">1 - </m:t>
        </m:r>
        <m:f>
          <m:num>
            <m:r>
              <m:t xml:space="preserve">|bias_stratified|</m:t>
            </m:r>
          </m:num>
          <m:den>
            <m:r>
              <m:t xml:space="preserve">|bias_crude|</m:t>
            </m:r>
          </m:den>
        </m:f>
      </m:oMath>
      <w:r>
        <w:t xml:space="preserve">.</w:t>
      </w:r>
    </w:p>
    <w:p>
      <w:pPr>
        <w:pStyle w:val="ListBullet"/>
      </w:pPr>
      <w:r>
        <w:t>Monte Carlo standard errors and 95% confidence intervals for every mean.</w:t>
      </w:r>
    </w:p>
    <w:p>
      <w:r>
        <w:t xml:space="preserve">The true-Z partition is an operational construct: k-means clustering applied to the standardised Z-space with K equal to the number of strata. ARI therefore measures agreement with a constructed reference rather than with clinically observed subgroups. </w:t>
      </w:r>
      <m:oMath>
        <m:sSub>
          <m:e>
            <m:r>
              <m:t xml:space="preserve">W</m:t>
            </m:r>
          </m:e>
          <m:sub>
            <m:r>
              <m:t xml:space="preserve">true</m:t>
            </m:r>
          </m:sub>
        </m:sSub>
      </m:oMath>
      <w:r>
        <w:t xml:space="preserve"> is available only in simulation; </w:t>
      </w:r>
      <m:oMath>
        <m:sSub>
          <m:e>
            <m:r>
              <m:t xml:space="preserve">W</m:t>
            </m:r>
          </m:e>
          <m:sub>
            <m:r>
              <m:t xml:space="preserve">est</m:t>
            </m:r>
          </m:sub>
        </m:sSub>
      </m:oMath>
      <w:r>
        <w:t xml:space="preserve"> is the operational diagnostic that can be computed in real data, although it requires a correctly specified outcome model and should be interpreted cautiously.</w:t>
      </w:r>
    </w:p>
    <w:p>
      <w:pPr>
        <w:pStyle w:val="Heading2"/>
      </w:pPr>
      <w:r>
        <w:t>Semi-synthetic illustrations</w:t>
      </w:r>
    </w:p>
    <w:p>
      <w:r>
        <w:t>Five well-known Simpson-paradox examples were reconstructed as pseudo-individual records from published aggregate statistics: kidney stone treatments (Charig et al. 1986), UC Berkeley admissions (Bickel et al. 1975), COVID-19 case fatality rates (von Kügelgen et al. 2021), Israeli vaccine effectiveness (Morris 2021), and smoking-mortality (Appleton et al. 1996). For each example, pseudo-general variables were generated to mimic proxies of the known confounder, and the same IONE methods were applied. The Morris (Morris 2021) example is a publicly available aggregate data analysis and has not been peer-reviewed. These examples illustrate favourable and unfavourable settings for stratification; they are not validation of out-of-the-box performance in real IPD.</w:t>
      </w:r>
    </w:p>
    <w:p>
      <w:pPr>
        <w:pStyle w:val="Heading2"/>
      </w:pPr>
      <w:r>
        <w:t>Reporting and reproducibility standards</w:t>
      </w:r>
    </w:p>
    <w:p>
      <w:r>
        <w:t>The design, conduct and reporting of the simulation study followed the ADEMP framework (Aims, Data-generating mechanisms, Estimands, Methods, Performance measures) as recommended by Morris, White and Crowther (Morris et al. 2019). All estimands, performance metrics, candidate methods, factor levels and number of repetitions are described below; no additional scenarios or methods were added after the simulation was run. The analysis pipeline is version-controlled, and the commit hash used to generate the results is recorded in the repository. The full ADEMP and STROBE-Sim checklists are provided in Additional files 2 and 3. Every numerical value in the Results section is read from the CSV summary files produced by the pipeline; the manuscript generator inserts these values automatically, so the docx and markdown files can be regenerated without hand-entered numbers.</w:t>
      </w:r>
    </w:p>
    <w:p>
      <w:pPr>
        <w:pStyle w:val="Heading2"/>
      </w:pPr>
      <w:r>
        <w:t>Computational implementation</w:t>
      </w:r>
    </w:p>
    <w:p>
      <w:r>
        <w:t xml:space="preserve">All simulations and analyses were conducted in Python 3.11. The pipeline comprises </w:t>
      </w:r>
      <w:r>
        <w:rPr>
          <w:rFonts w:ascii="Courier New" w:hAnsi="Courier New"/>
        </w:rPr>
        <w:t>data_generation.py</w:t>
      </w:r>
      <w:r>
        <w:t xml:space="preserve">, </w:t>
      </w:r>
      <w:r>
        <w:rPr>
          <w:rFonts w:ascii="Courier New" w:hAnsi="Courier New"/>
        </w:rPr>
        <w:t>methods.py</w:t>
      </w:r>
      <w:r>
        <w:t xml:space="preserve">, </w:t>
      </w:r>
      <w:r>
        <w:rPr>
          <w:rFonts w:ascii="Courier New" w:hAnsi="Courier New"/>
        </w:rPr>
        <w:t>evaluation.py</w:t>
      </w:r>
      <w:r>
        <w:t xml:space="preserve">, </w:t>
      </w:r>
      <w:r>
        <w:rPr>
          <w:rFonts w:ascii="Courier New" w:hAnsi="Courier New"/>
        </w:rPr>
        <w:t>run_rsm_ipd_simulation.py</w:t>
      </w:r>
      <w:r>
        <w:t xml:space="preserve">, </w:t>
      </w:r>
      <w:r>
        <w:rPr>
          <w:rFonts w:ascii="Courier New" w:hAnsi="Courier New"/>
        </w:rPr>
        <w:t>generate_summary.py</w:t>
      </w:r>
      <w:r>
        <w:t xml:space="preserve"> and the manuscript generator. The simulation was run with 50 replications per scenario and fixed random seeds. The code and semi-synthetic example data are available at https://github.com/bougtoir/ione-stratification-framework. All numerical results in this manuscript are produced by the repository scripts; no estimates are hard-coded.</w:t>
      </w:r>
    </w:p>
    <w:p>
      <w:pPr>
        <w:pStyle w:val="Heading1"/>
      </w:pPr>
      <w:r>
        <w:t>3. Results</w:t>
      </w:r>
    </w:p>
    <w:p>
      <w:pPr>
        <w:pStyle w:val="Heading2"/>
      </w:pPr>
      <w:r>
        <w:t>Primary IPD scenario</w:t>
      </w:r>
    </w:p>
    <w:p>
      <w:r>
        <w:t xml:space="preserve">Table 1 summarises the primary IPD scenario (n=2000, 10 studies, K=5 strata, 50 replications). Extraction of the true hidden structure was modest. The Oracle baseline that stratified by the true Z variables achieved the highest ARI (0.372); among the proposed and comparator methods, the best non-Oracle ARI was 0.032 (1B_residual). The average C1 across methods was 0.889, and average within-stratum homogeneity was limited (mean </w:t>
      </w:r>
      <m:oMath>
        <m:sSub>
          <m:e>
            <m:r>
              <m:t xml:space="preserve">W</m:t>
            </m:r>
          </m:e>
          <m:sub>
            <m:r>
              <m:t xml:space="preserve">true</m:t>
            </m:r>
          </m:sub>
        </m:sSub>
      </m:oMath>
      <w:r>
        <w:t xml:space="preserve"> = 0.242; mean </w:t>
      </w:r>
      <m:oMath>
        <m:sSub>
          <m:e>
            <m:r>
              <m:t xml:space="preserve">W</m:t>
            </m:r>
          </m:e>
          <m:sub>
            <m:r>
              <m:t xml:space="preserve">est</m:t>
            </m:r>
          </m:sub>
        </m:sSub>
      </m:oMath>
      <w:r>
        <w:t xml:space="preserve"> = 0.078), indicating that the discovered strata still contained substantial between-person variation in the conditional treatment effect.</w:t>
      </w:r>
    </w:p>
    <w:p>
      <w:pPr>
        <w:pStyle w:val="Heading3"/>
      </w:pPr>
      <w:r>
        <w:t>Diagnostic agreement with the true partition</w:t>
      </w:r>
    </w:p>
    <w:p>
      <w:r>
        <w:t>Although all proposed methods and active comparators outperformed random stratification, the absolute level of recovery was low. The best non-oracle method reached an ARI of 0.032, substantially below the Oracle k-means baseline (ARI 0.372). This gap underscores the difficulty of reconstructing a three-dimensional hidden effect-modifier from ten measured covariates that carry only a moderate trace. Clustering-based methods performed comparably to decision-power methods in some configurations, but no single approach dominated across all metrics.</w:t>
      </w:r>
    </w:p>
    <w:p>
      <w:pPr>
        <w:pStyle w:val="Heading3"/>
      </w:pPr>
      <w:r>
        <w:t>C1 and W as coherence diagnostics</w:t>
      </w:r>
    </w:p>
    <w:p>
      <w:r>
        <w:t xml:space="preserve">C1 behaved in the expected direction: methods that produced strata closer to the Oracle had C1 values closer to 1, whereas random stratification yielded a C1 of 0.889. However, the range of C1 values was compressed and the diagnostic does not, by itself, identify which method is most trustworthy. </w:t>
      </w:r>
      <m:oMath>
        <m:sSub>
          <m:e>
            <m:r>
              <m:t xml:space="preserve">W</m:t>
            </m:r>
          </m:e>
          <m:sub>
            <m:r>
              <m:t xml:space="preserve">true</m:t>
            </m:r>
          </m:sub>
        </m:sSub>
      </m:oMath>
      <w:r>
        <w:t xml:space="preserve"> was larger than </w:t>
      </w:r>
      <m:oMath>
        <m:sSub>
          <m:e>
            <m:r>
              <m:t xml:space="preserve">W</m:t>
            </m:r>
          </m:e>
          <m:sub>
            <m:r>
              <m:t xml:space="preserve">est</m:t>
            </m:r>
          </m:sub>
        </m:sSub>
      </m:oMath>
      <w:r>
        <w:t xml:space="preserve"> for most methods, reflecting the fact that the estimated CATE model (</w:t>
      </w:r>
      <m:oMath>
        <m:r>
          <m:t xml:space="preserve">Y ~ X + A + X×A</m:t>
        </m:r>
      </m:oMath>
      <w:r>
        <w:t xml:space="preserve">) can only capture part of the true CATE variation. </w:t>
      </w:r>
      <m:oMath>
        <m:sSub>
          <m:e>
            <m:r>
              <m:t xml:space="preserve">W</m:t>
            </m:r>
          </m:e>
          <m:sub>
            <m:r>
              <m:t xml:space="preserve">est</m:t>
            </m:r>
          </m:sub>
        </m:sSub>
      </m:oMath>
      <w:r>
        <w:t xml:space="preserve"> therefore provides a conservative, operationally available lower bound on within-stratum homogeneity.</w:t>
      </w:r>
    </w:p>
    <w:p>
      <w:pPr>
        <w:pStyle w:val="Heading3"/>
      </w:pPr>
      <w:r>
        <w:t>ATE bias reduction on the risk-difference scale</w:t>
      </w:r>
    </w:p>
    <w:p>
      <w:r>
        <w:t>ATE bias reduction was strongest for 1B_residual: the crude absolute risk-difference bias was 0.01865; the two-stage stratified estimate reduced this to 0.01345 (relative reduction 0.279), and the DerSimonian-Laird random-effects estimate reduced it further to 0.00816 (relative reduction 0.563). For comparison, random-effects pooling across the true study identifiers (i.e. a study-level meta-analysis) gave an absolute ATE bias of 0.01568 (reduction 0.00296 from crude 0.01865).</w:t>
      </w:r>
    </w:p>
    <w:p>
      <w:r>
        <w:t>These values show that, under the simulated data-generating mechanism, a small number of data-driven strata can partially remove bias from a pooled IPD estimate. The additional gain from random-effects pooling suggests that allowing stratum-specific risk differences to vary is important when the hidden effect modifier is present: a fixed-effect summary that ignores between-stratum heterogeneity leaves residual bias, whereas the random-effects model borrows strength across strata in a way that more closely approximates the true ATE.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r/>
      <w:r>
        <w:rPr>
          <w:i/>
        </w:rPr>
        <w:t>Table 1. Primary IPD scenario (n=2000, 10 studies, K=5): means over 50 simulations.</w:t>
      </w:r>
      <w:r/>
    </w:p>
    <w:p>
      <w:pPr>
        <w:jc w:val="center"/>
      </w:pPr>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Primary IPD scenario: diagnostic metrics and ATE bias reduction by method.</w:t>
      </w:r>
    </w:p>
    <w:p>
      <w:pPr>
        <w:pStyle w:val="Heading2"/>
      </w:pPr>
      <w:r>
        <w:t>Sensitivity to the number of strata</w:t>
      </w:r>
    </w:p>
    <w:p>
      <w:r>
        <w:t>Table 2 and Figure 2 show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K</w:t>
            </w:r>
          </w:p>
        </w:tc>
        <w:tc>
          <w:tcPr>
            <w:tcW w:type="dxa" w:w="1728"/>
          </w:tcPr>
          <w:p>
            <w:r>
              <w:rPr>
                <w:b/>
              </w:rPr>
              <w:t>Method</w:t>
            </w:r>
          </w:p>
        </w:tc>
        <w:tc>
          <w:tcPr>
            <w:tcW w:type="dxa" w:w="1728"/>
          </w:tcPr>
          <w:p>
            <w:r>
              <w:rPr>
                <w:b/>
              </w:rPr>
              <w:t>ARI</w:t>
            </w:r>
          </w:p>
        </w:tc>
        <w:tc>
          <w:tcPr>
            <w:tcW w:type="dxa" w:w="1728"/>
          </w:tcPr>
          <w:p>
            <w:r>
              <w:rPr>
                <w:b/>
              </w:rPr>
              <w:t>RE bias</w:t>
            </w:r>
          </w:p>
        </w:tc>
        <w:tc>
          <w:tcPr>
            <w:tcW w:type="dxa" w:w="1728"/>
          </w:tcPr>
          <w:p>
            <w:r>
              <w:rPr>
                <w:b/>
              </w:rPr>
              <w:t>Rel reduction RE</w:t>
            </w:r>
          </w:p>
        </w:tc>
      </w:tr>
      <w:tr>
        <w:tc>
          <w:tcPr>
            <w:tcW w:type="dxa" w:w="1728"/>
          </w:tcPr>
          <w:p>
            <w:r>
              <w:t>3</w:t>
            </w:r>
          </w:p>
        </w:tc>
        <w:tc>
          <w:tcPr>
            <w:tcW w:type="dxa" w:w="1728"/>
          </w:tcPr>
          <w:p>
            <w:r>
              <w:t>1A_predicted_prob</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1B_residual</w:t>
            </w:r>
          </w:p>
        </w:tc>
        <w:tc>
          <w:tcPr>
            <w:tcW w:type="dxa" w:w="1728"/>
          </w:tcPr>
          <w:p>
            <w:r>
              <w:t>0.032</w:t>
            </w:r>
          </w:p>
        </w:tc>
        <w:tc>
          <w:tcPr>
            <w:tcW w:type="dxa" w:w="1728"/>
          </w:tcPr>
          <w:p>
            <w:r>
              <w:t>0.00859</w:t>
            </w:r>
          </w:p>
        </w:tc>
        <w:tc>
          <w:tcPr>
            <w:tcW w:type="dxa" w:w="1728"/>
          </w:tcPr>
          <w:p>
            <w:r>
              <w:t>0.585</w:t>
            </w:r>
          </w:p>
        </w:tc>
      </w:tr>
      <w:tr>
        <w:tc>
          <w:tcPr>
            <w:tcW w:type="dxa" w:w="1728"/>
          </w:tcPr>
          <w:p>
            <w:r>
              <w:t>3</w:t>
            </w:r>
          </w:p>
        </w:tc>
        <w:tc>
          <w:tcPr>
            <w:tcW w:type="dxa" w:w="1728"/>
          </w:tcPr>
          <w:p>
            <w:r>
              <w:t>1C_cv_decision</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2A_PCA_cum60</w:t>
            </w:r>
          </w:p>
        </w:tc>
        <w:tc>
          <w:tcPr>
            <w:tcW w:type="dxa" w:w="1728"/>
          </w:tcPr>
          <w:p>
            <w:r>
              <w:t>0.017</w:t>
            </w:r>
          </w:p>
        </w:tc>
        <w:tc>
          <w:tcPr>
            <w:tcW w:type="dxa" w:w="1728"/>
          </w:tcPr>
          <w:p>
            <w:r>
              <w:t>0.01833</w:t>
            </w:r>
          </w:p>
        </w:tc>
        <w:tc>
          <w:tcPr>
            <w:tcW w:type="dxa" w:w="1728"/>
          </w:tcPr>
          <w:p>
            <w:r>
              <w:t>0.114</w:t>
            </w:r>
          </w:p>
        </w:tc>
      </w:tr>
      <w:tr>
        <w:tc>
          <w:tcPr>
            <w:tcW w:type="dxa" w:w="1728"/>
          </w:tcPr>
          <w:p>
            <w:r>
              <w:t>3</w:t>
            </w:r>
          </w:p>
        </w:tc>
        <w:tc>
          <w:tcPr>
            <w:tcW w:type="dxa" w:w="1728"/>
          </w:tcPr>
          <w:p>
            <w:r>
              <w:t>2B_clustering</w:t>
            </w:r>
          </w:p>
        </w:tc>
        <w:tc>
          <w:tcPr>
            <w:tcW w:type="dxa" w:w="1728"/>
          </w:tcPr>
          <w:p>
            <w:r>
              <w:t>0.021</w:t>
            </w:r>
          </w:p>
        </w:tc>
        <w:tc>
          <w:tcPr>
            <w:tcW w:type="dxa" w:w="1728"/>
          </w:tcPr>
          <w:p>
            <w:r>
              <w:t>0.01439</w:t>
            </w:r>
          </w:p>
        </w:tc>
        <w:tc>
          <w:tcPr>
            <w:tcW w:type="dxa" w:w="1728"/>
          </w:tcPr>
          <w:p>
            <w:r>
              <w:t>0.304</w:t>
            </w:r>
          </w:p>
        </w:tc>
      </w:tr>
      <w:tr>
        <w:tc>
          <w:tcPr>
            <w:tcW w:type="dxa" w:w="1728"/>
          </w:tcPr>
          <w:p>
            <w:r>
              <w:t>3</w:t>
            </w:r>
          </w:p>
        </w:tc>
        <w:tc>
          <w:tcPr>
            <w:tcW w:type="dxa" w:w="1728"/>
          </w:tcPr>
          <w:p>
            <w:r>
              <w:t>GMM</w:t>
            </w:r>
          </w:p>
        </w:tc>
        <w:tc>
          <w:tcPr>
            <w:tcW w:type="dxa" w:w="1728"/>
          </w:tcPr>
          <w:p>
            <w:r>
              <w:t>0.006</w:t>
            </w:r>
          </w:p>
        </w:tc>
        <w:tc>
          <w:tcPr>
            <w:tcW w:type="dxa" w:w="1728"/>
          </w:tcPr>
          <w:p>
            <w:r>
              <w:t>0.01835</w:t>
            </w:r>
          </w:p>
        </w:tc>
        <w:tc>
          <w:tcPr>
            <w:tcW w:type="dxa" w:w="1728"/>
          </w:tcPr>
          <w:p>
            <w:r>
              <w:t>0.113</w:t>
            </w:r>
          </w:p>
        </w:tc>
      </w:tr>
      <w:tr>
        <w:tc>
          <w:tcPr>
            <w:tcW w:type="dxa" w:w="1728"/>
          </w:tcPr>
          <w:p>
            <w:r>
              <w:t>3</w:t>
            </w:r>
          </w:p>
        </w:tc>
        <w:tc>
          <w:tcPr>
            <w:tcW w:type="dxa" w:w="1728"/>
          </w:tcPr>
          <w:p>
            <w:r>
              <w:t>PS_propensity_score</w:t>
            </w:r>
          </w:p>
        </w:tc>
        <w:tc>
          <w:tcPr>
            <w:tcW w:type="dxa" w:w="1728"/>
          </w:tcPr>
          <w:p>
            <w:r>
              <w:t>0.006</w:t>
            </w:r>
          </w:p>
        </w:tc>
        <w:tc>
          <w:tcPr>
            <w:tcW w:type="dxa" w:w="1728"/>
          </w:tcPr>
          <w:p>
            <w:r>
              <w:t>0.01700</w:t>
            </w:r>
          </w:p>
        </w:tc>
        <w:tc>
          <w:tcPr>
            <w:tcW w:type="dxa" w:w="1728"/>
          </w:tcPr>
          <w:p>
            <w:r>
              <w:t>0.178</w:t>
            </w:r>
          </w:p>
        </w:tc>
      </w:tr>
      <w:tr>
        <w:tc>
          <w:tcPr>
            <w:tcW w:type="dxa" w:w="1728"/>
          </w:tcPr>
          <w:p>
            <w:r>
              <w:t>3</w:t>
            </w:r>
          </w:p>
        </w:tc>
        <w:tc>
          <w:tcPr>
            <w:tcW w:type="dxa" w:w="1728"/>
          </w:tcPr>
          <w:p>
            <w:r>
              <w:t>Prognostic_score</w:t>
            </w:r>
          </w:p>
        </w:tc>
        <w:tc>
          <w:tcPr>
            <w:tcW w:type="dxa" w:w="1728"/>
          </w:tcPr>
          <w:p>
            <w:r>
              <w:t>0.025</w:t>
            </w:r>
          </w:p>
        </w:tc>
        <w:tc>
          <w:tcPr>
            <w:tcW w:type="dxa" w:w="1728"/>
          </w:tcPr>
          <w:p>
            <w:r>
              <w:t>0.01402</w:t>
            </w:r>
          </w:p>
        </w:tc>
        <w:tc>
          <w:tcPr>
            <w:tcW w:type="dxa" w:w="1728"/>
          </w:tcPr>
          <w:p>
            <w:r>
              <w:t>0.322</w:t>
            </w:r>
          </w:p>
        </w:tc>
      </w:tr>
      <w:tr>
        <w:tc>
          <w:tcPr>
            <w:tcW w:type="dxa" w:w="1728"/>
          </w:tcPr>
          <w:p>
            <w:r>
              <w:t>3</w:t>
            </w:r>
          </w:p>
        </w:tc>
        <w:tc>
          <w:tcPr>
            <w:tcW w:type="dxa" w:w="1728"/>
          </w:tcPr>
          <w:p>
            <w:r>
              <w:t>baseline_oracle_kmeans</w:t>
            </w:r>
          </w:p>
        </w:tc>
        <w:tc>
          <w:tcPr>
            <w:tcW w:type="dxa" w:w="1728"/>
          </w:tcPr>
          <w:p>
            <w:r>
              <w:t>0.317</w:t>
            </w:r>
          </w:p>
        </w:tc>
        <w:tc>
          <w:tcPr>
            <w:tcW w:type="dxa" w:w="1728"/>
          </w:tcPr>
          <w:p>
            <w:r>
              <w:t>0.01813</w:t>
            </w:r>
          </w:p>
        </w:tc>
        <w:tc>
          <w:tcPr>
            <w:tcW w:type="dxa" w:w="1728"/>
          </w:tcPr>
          <w:p>
            <w:r>
              <w:t>0.124</w:t>
            </w:r>
          </w:p>
        </w:tc>
      </w:tr>
      <w:tr>
        <w:tc>
          <w:tcPr>
            <w:tcW w:type="dxa" w:w="1728"/>
          </w:tcPr>
          <w:p>
            <w:r>
              <w:t>3</w:t>
            </w:r>
          </w:p>
        </w:tc>
        <w:tc>
          <w:tcPr>
            <w:tcW w:type="dxa" w:w="1728"/>
          </w:tcPr>
          <w:p>
            <w:r>
              <w:t>baseline_oracle_quantile</w:t>
            </w:r>
          </w:p>
        </w:tc>
        <w:tc>
          <w:tcPr>
            <w:tcW w:type="dxa" w:w="1728"/>
          </w:tcPr>
          <w:p>
            <w:r>
              <w:t>0.058</w:t>
            </w:r>
          </w:p>
        </w:tc>
        <w:tc>
          <w:tcPr>
            <w:tcW w:type="dxa" w:w="1728"/>
          </w:tcPr>
          <w:p>
            <w:r>
              <w:t>0.01325</w:t>
            </w:r>
          </w:p>
        </w:tc>
        <w:tc>
          <w:tcPr>
            <w:tcW w:type="dxa" w:w="1728"/>
          </w:tcPr>
          <w:p>
            <w:r>
              <w:t>0.360</w:t>
            </w:r>
          </w:p>
        </w:tc>
      </w:tr>
      <w:tr>
        <w:tc>
          <w:tcPr>
            <w:tcW w:type="dxa" w:w="1728"/>
          </w:tcPr>
          <w:p>
            <w:r>
              <w:t>3</w:t>
            </w:r>
          </w:p>
        </w:tc>
        <w:tc>
          <w:tcPr>
            <w:tcW w:type="dxa" w:w="1728"/>
          </w:tcPr>
          <w:p>
            <w:r>
              <w:t>baseline_random</w:t>
            </w:r>
          </w:p>
        </w:tc>
        <w:tc>
          <w:tcPr>
            <w:tcW w:type="dxa" w:w="1728"/>
          </w:tcPr>
          <w:p>
            <w:r>
              <w:t>0.000</w:t>
            </w:r>
          </w:p>
        </w:tc>
        <w:tc>
          <w:tcPr>
            <w:tcW w:type="dxa" w:w="1728"/>
          </w:tcPr>
          <w:p>
            <w:r>
              <w:t>0.02081</w:t>
            </w:r>
          </w:p>
        </w:tc>
        <w:tc>
          <w:tcPr>
            <w:tcW w:type="dxa" w:w="1728"/>
          </w:tcPr>
          <w:p>
            <w:r>
              <w:t>-0.006</w:t>
            </w:r>
          </w:p>
        </w:tc>
      </w:tr>
      <w:tr>
        <w:tc>
          <w:tcPr>
            <w:tcW w:type="dxa" w:w="1728"/>
          </w:tcPr>
          <w:p>
            <w:r>
              <w:t>5</w:t>
            </w:r>
          </w:p>
        </w:tc>
        <w:tc>
          <w:tcPr>
            <w:tcW w:type="dxa" w:w="1728"/>
          </w:tcPr>
          <w:p>
            <w:r>
              <w:t>1A_predicted_prob</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1B_residual</w:t>
            </w:r>
          </w:p>
        </w:tc>
        <w:tc>
          <w:tcPr>
            <w:tcW w:type="dxa" w:w="1728"/>
          </w:tcPr>
          <w:p>
            <w:r>
              <w:t>0.032</w:t>
            </w:r>
          </w:p>
        </w:tc>
        <w:tc>
          <w:tcPr>
            <w:tcW w:type="dxa" w:w="1728"/>
          </w:tcPr>
          <w:p>
            <w:r>
              <w:t>0.00816</w:t>
            </w:r>
          </w:p>
        </w:tc>
        <w:tc>
          <w:tcPr>
            <w:tcW w:type="dxa" w:w="1728"/>
          </w:tcPr>
          <w:p>
            <w:r>
              <w:t>0.563</w:t>
            </w:r>
          </w:p>
        </w:tc>
      </w:tr>
      <w:tr>
        <w:tc>
          <w:tcPr>
            <w:tcW w:type="dxa" w:w="1728"/>
          </w:tcPr>
          <w:p>
            <w:r>
              <w:t>5</w:t>
            </w:r>
          </w:p>
        </w:tc>
        <w:tc>
          <w:tcPr>
            <w:tcW w:type="dxa" w:w="1728"/>
          </w:tcPr>
          <w:p>
            <w:r>
              <w:t>1C_cv_decision</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2A_PCA_cum60</w:t>
            </w:r>
          </w:p>
        </w:tc>
        <w:tc>
          <w:tcPr>
            <w:tcW w:type="dxa" w:w="1728"/>
          </w:tcPr>
          <w:p>
            <w:r>
              <w:t>0.016</w:t>
            </w:r>
          </w:p>
        </w:tc>
        <w:tc>
          <w:tcPr>
            <w:tcW w:type="dxa" w:w="1728"/>
          </w:tcPr>
          <w:p>
            <w:r>
              <w:t>0.01769</w:t>
            </w:r>
          </w:p>
        </w:tc>
        <w:tc>
          <w:tcPr>
            <w:tcW w:type="dxa" w:w="1728"/>
          </w:tcPr>
          <w:p>
            <w:r>
              <w:t>0.051</w:t>
            </w:r>
          </w:p>
        </w:tc>
      </w:tr>
      <w:tr>
        <w:tc>
          <w:tcPr>
            <w:tcW w:type="dxa" w:w="1728"/>
          </w:tcPr>
          <w:p>
            <w:r>
              <w:t>5</w:t>
            </w:r>
          </w:p>
        </w:tc>
        <w:tc>
          <w:tcPr>
            <w:tcW w:type="dxa" w:w="1728"/>
          </w:tcPr>
          <w:p>
            <w:r>
              <w:t>2B_clustering</w:t>
            </w:r>
          </w:p>
        </w:tc>
        <w:tc>
          <w:tcPr>
            <w:tcW w:type="dxa" w:w="1728"/>
          </w:tcPr>
          <w:p>
            <w:r>
              <w:t>0.023</w:t>
            </w:r>
          </w:p>
        </w:tc>
        <w:tc>
          <w:tcPr>
            <w:tcW w:type="dxa" w:w="1728"/>
          </w:tcPr>
          <w:p>
            <w:r>
              <w:t>0.01651</w:t>
            </w:r>
          </w:p>
        </w:tc>
        <w:tc>
          <w:tcPr>
            <w:tcW w:type="dxa" w:w="1728"/>
          </w:tcPr>
          <w:p>
            <w:r>
              <w:t>0.115</w:t>
            </w:r>
          </w:p>
        </w:tc>
      </w:tr>
      <w:tr>
        <w:tc>
          <w:tcPr>
            <w:tcW w:type="dxa" w:w="1728"/>
          </w:tcPr>
          <w:p>
            <w:r>
              <w:t>5</w:t>
            </w:r>
          </w:p>
        </w:tc>
        <w:tc>
          <w:tcPr>
            <w:tcW w:type="dxa" w:w="1728"/>
          </w:tcPr>
          <w:p>
            <w:r>
              <w:t>GMM</w:t>
            </w:r>
          </w:p>
        </w:tc>
        <w:tc>
          <w:tcPr>
            <w:tcW w:type="dxa" w:w="1728"/>
          </w:tcPr>
          <w:p>
            <w:r>
              <w:t>0.005</w:t>
            </w:r>
          </w:p>
        </w:tc>
        <w:tc>
          <w:tcPr>
            <w:tcW w:type="dxa" w:w="1728"/>
          </w:tcPr>
          <w:p>
            <w:r>
              <w:t>0.01686</w:t>
            </w:r>
          </w:p>
        </w:tc>
        <w:tc>
          <w:tcPr>
            <w:tcW w:type="dxa" w:w="1728"/>
          </w:tcPr>
          <w:p>
            <w:r>
              <w:t>0.096</w:t>
            </w:r>
          </w:p>
        </w:tc>
      </w:tr>
      <w:tr>
        <w:tc>
          <w:tcPr>
            <w:tcW w:type="dxa" w:w="1728"/>
          </w:tcPr>
          <w:p>
            <w:r>
              <w:t>5</w:t>
            </w:r>
          </w:p>
        </w:tc>
        <w:tc>
          <w:tcPr>
            <w:tcW w:type="dxa" w:w="1728"/>
          </w:tcPr>
          <w:p>
            <w:r>
              <w:t>PS_propensity_score</w:t>
            </w:r>
          </w:p>
        </w:tc>
        <w:tc>
          <w:tcPr>
            <w:tcW w:type="dxa" w:w="1728"/>
          </w:tcPr>
          <w:p>
            <w:r>
              <w:t>0.005</w:t>
            </w:r>
          </w:p>
        </w:tc>
        <w:tc>
          <w:tcPr>
            <w:tcW w:type="dxa" w:w="1728"/>
          </w:tcPr>
          <w:p>
            <w:r>
              <w:t>0.01754</w:t>
            </w:r>
          </w:p>
        </w:tc>
        <w:tc>
          <w:tcPr>
            <w:tcW w:type="dxa" w:w="1728"/>
          </w:tcPr>
          <w:p>
            <w:r>
              <w:t>0.059</w:t>
            </w:r>
          </w:p>
        </w:tc>
      </w:tr>
      <w:tr>
        <w:tc>
          <w:tcPr>
            <w:tcW w:type="dxa" w:w="1728"/>
          </w:tcPr>
          <w:p>
            <w:r>
              <w:t>5</w:t>
            </w:r>
          </w:p>
        </w:tc>
        <w:tc>
          <w:tcPr>
            <w:tcW w:type="dxa" w:w="1728"/>
          </w:tcPr>
          <w:p>
            <w:r>
              <w:t>Prognostic_score</w:t>
            </w:r>
          </w:p>
        </w:tc>
        <w:tc>
          <w:tcPr>
            <w:tcW w:type="dxa" w:w="1728"/>
          </w:tcPr>
          <w:p>
            <w:r>
              <w:t>0.026</w:t>
            </w:r>
          </w:p>
        </w:tc>
        <w:tc>
          <w:tcPr>
            <w:tcW w:type="dxa" w:w="1728"/>
          </w:tcPr>
          <w:p>
            <w:r>
              <w:t>0.01430</w:t>
            </w:r>
          </w:p>
        </w:tc>
        <w:tc>
          <w:tcPr>
            <w:tcW w:type="dxa" w:w="1728"/>
          </w:tcPr>
          <w:p>
            <w:r>
              <w:t>0.233</w:t>
            </w:r>
          </w:p>
        </w:tc>
      </w:tr>
      <w:tr>
        <w:tc>
          <w:tcPr>
            <w:tcW w:type="dxa" w:w="1728"/>
          </w:tcPr>
          <w:p>
            <w:r>
              <w:t>5</w:t>
            </w:r>
          </w:p>
        </w:tc>
        <w:tc>
          <w:tcPr>
            <w:tcW w:type="dxa" w:w="1728"/>
          </w:tcPr>
          <w:p>
            <w:r>
              <w:t>baseline_oracle_kmeans</w:t>
            </w:r>
          </w:p>
        </w:tc>
        <w:tc>
          <w:tcPr>
            <w:tcW w:type="dxa" w:w="1728"/>
          </w:tcPr>
          <w:p>
            <w:r>
              <w:t>0.372</w:t>
            </w:r>
          </w:p>
        </w:tc>
        <w:tc>
          <w:tcPr>
            <w:tcW w:type="dxa" w:w="1728"/>
          </w:tcPr>
          <w:p>
            <w:r>
              <w:t>0.01651</w:t>
            </w:r>
          </w:p>
        </w:tc>
        <w:tc>
          <w:tcPr>
            <w:tcW w:type="dxa" w:w="1728"/>
          </w:tcPr>
          <w:p>
            <w:r>
              <w:t>0.115</w:t>
            </w:r>
          </w:p>
        </w:tc>
      </w:tr>
      <w:tr>
        <w:tc>
          <w:tcPr>
            <w:tcW w:type="dxa" w:w="1728"/>
          </w:tcPr>
          <w:p>
            <w:r>
              <w:t>5</w:t>
            </w:r>
          </w:p>
        </w:tc>
        <w:tc>
          <w:tcPr>
            <w:tcW w:type="dxa" w:w="1728"/>
          </w:tcPr>
          <w:p>
            <w:r>
              <w:t>baseline_oracle_quantile</w:t>
            </w:r>
          </w:p>
        </w:tc>
        <w:tc>
          <w:tcPr>
            <w:tcW w:type="dxa" w:w="1728"/>
          </w:tcPr>
          <w:p>
            <w:r>
              <w:t>0.095</w:t>
            </w:r>
          </w:p>
        </w:tc>
        <w:tc>
          <w:tcPr>
            <w:tcW w:type="dxa" w:w="1728"/>
          </w:tcPr>
          <w:p>
            <w:r>
              <w:t>0.01266</w:t>
            </w:r>
          </w:p>
        </w:tc>
        <w:tc>
          <w:tcPr>
            <w:tcW w:type="dxa" w:w="1728"/>
          </w:tcPr>
          <w:p>
            <w:r>
              <w:t>0.321</w:t>
            </w:r>
          </w:p>
        </w:tc>
      </w:tr>
      <w:tr>
        <w:tc>
          <w:tcPr>
            <w:tcW w:type="dxa" w:w="1728"/>
          </w:tcPr>
          <w:p>
            <w:r>
              <w:t>5</w:t>
            </w:r>
          </w:p>
        </w:tc>
        <w:tc>
          <w:tcPr>
            <w:tcW w:type="dxa" w:w="1728"/>
          </w:tcPr>
          <w:p>
            <w:r>
              <w:t>baseline_random</w:t>
            </w:r>
          </w:p>
        </w:tc>
        <w:tc>
          <w:tcPr>
            <w:tcW w:type="dxa" w:w="1728"/>
          </w:tcPr>
          <w:p>
            <w:r>
              <w:t>0.000</w:t>
            </w:r>
          </w:p>
        </w:tc>
        <w:tc>
          <w:tcPr>
            <w:tcW w:type="dxa" w:w="1728"/>
          </w:tcPr>
          <w:p>
            <w:r>
              <w:t>0.01901</w:t>
            </w:r>
          </w:p>
        </w:tc>
        <w:tc>
          <w:tcPr>
            <w:tcW w:type="dxa" w:w="1728"/>
          </w:tcPr>
          <w:p>
            <w:r>
              <w:t>-0.019</w:t>
            </w:r>
          </w:p>
        </w:tc>
      </w:tr>
      <w:tr>
        <w:tc>
          <w:tcPr>
            <w:tcW w:type="dxa" w:w="1728"/>
          </w:tcPr>
          <w:p>
            <w:r>
              <w:t>10</w:t>
            </w:r>
          </w:p>
        </w:tc>
        <w:tc>
          <w:tcPr>
            <w:tcW w:type="dxa" w:w="1728"/>
          </w:tcPr>
          <w:p>
            <w:r>
              <w:t>1A_predicted_prob</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1B_residual</w:t>
            </w:r>
          </w:p>
        </w:tc>
        <w:tc>
          <w:tcPr>
            <w:tcW w:type="dxa" w:w="1728"/>
          </w:tcPr>
          <w:p>
            <w:r>
              <w:t>0.026</w:t>
            </w:r>
          </w:p>
        </w:tc>
        <w:tc>
          <w:tcPr>
            <w:tcW w:type="dxa" w:w="1728"/>
          </w:tcPr>
          <w:p>
            <w:r>
              <w:t>0.00815</w:t>
            </w:r>
          </w:p>
        </w:tc>
        <w:tc>
          <w:tcPr>
            <w:tcW w:type="dxa" w:w="1728"/>
          </w:tcPr>
          <w:p>
            <w:r>
              <w:t>0.585</w:t>
            </w:r>
          </w:p>
        </w:tc>
      </w:tr>
      <w:tr>
        <w:tc>
          <w:tcPr>
            <w:tcW w:type="dxa" w:w="1728"/>
          </w:tcPr>
          <w:p>
            <w:r>
              <w:t>10</w:t>
            </w:r>
          </w:p>
        </w:tc>
        <w:tc>
          <w:tcPr>
            <w:tcW w:type="dxa" w:w="1728"/>
          </w:tcPr>
          <w:p>
            <w:r>
              <w:t>1C_cv_decision</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2A_PCA_cum60</w:t>
            </w:r>
          </w:p>
        </w:tc>
        <w:tc>
          <w:tcPr>
            <w:tcW w:type="dxa" w:w="1728"/>
          </w:tcPr>
          <w:p>
            <w:r>
              <w:t>0.014</w:t>
            </w:r>
          </w:p>
        </w:tc>
        <w:tc>
          <w:tcPr>
            <w:tcW w:type="dxa" w:w="1728"/>
          </w:tcPr>
          <w:p>
            <w:r>
              <w:t>0.01636</w:t>
            </w:r>
          </w:p>
        </w:tc>
        <w:tc>
          <w:tcPr>
            <w:tcW w:type="dxa" w:w="1728"/>
          </w:tcPr>
          <w:p>
            <w:r>
              <w:t>0.167</w:t>
            </w:r>
          </w:p>
        </w:tc>
      </w:tr>
      <w:tr>
        <w:tc>
          <w:tcPr>
            <w:tcW w:type="dxa" w:w="1728"/>
          </w:tcPr>
          <w:p>
            <w:r>
              <w:t>10</w:t>
            </w:r>
          </w:p>
        </w:tc>
        <w:tc>
          <w:tcPr>
            <w:tcW w:type="dxa" w:w="1728"/>
          </w:tcPr>
          <w:p>
            <w:r>
              <w:t>2B_clustering</w:t>
            </w:r>
          </w:p>
        </w:tc>
        <w:tc>
          <w:tcPr>
            <w:tcW w:type="dxa" w:w="1728"/>
          </w:tcPr>
          <w:p>
            <w:r>
              <w:t>0.021</w:t>
            </w:r>
          </w:p>
        </w:tc>
        <w:tc>
          <w:tcPr>
            <w:tcW w:type="dxa" w:w="1728"/>
          </w:tcPr>
          <w:p>
            <w:r>
              <w:t>0.01558</w:t>
            </w:r>
          </w:p>
        </w:tc>
        <w:tc>
          <w:tcPr>
            <w:tcW w:type="dxa" w:w="1728"/>
          </w:tcPr>
          <w:p>
            <w:r>
              <w:t>0.207</w:t>
            </w:r>
          </w:p>
        </w:tc>
      </w:tr>
      <w:tr>
        <w:tc>
          <w:tcPr>
            <w:tcW w:type="dxa" w:w="1728"/>
          </w:tcPr>
          <w:p>
            <w:r>
              <w:t>10</w:t>
            </w:r>
          </w:p>
        </w:tc>
        <w:tc>
          <w:tcPr>
            <w:tcW w:type="dxa" w:w="1728"/>
          </w:tcPr>
          <w:p>
            <w:r>
              <w:t>GMM</w:t>
            </w:r>
          </w:p>
        </w:tc>
        <w:tc>
          <w:tcPr>
            <w:tcW w:type="dxa" w:w="1728"/>
          </w:tcPr>
          <w:p>
            <w:r>
              <w:t>0.007</w:t>
            </w:r>
          </w:p>
        </w:tc>
        <w:tc>
          <w:tcPr>
            <w:tcW w:type="dxa" w:w="1728"/>
          </w:tcPr>
          <w:p>
            <w:r>
              <w:t>0.01738</w:t>
            </w:r>
          </w:p>
        </w:tc>
        <w:tc>
          <w:tcPr>
            <w:tcW w:type="dxa" w:w="1728"/>
          </w:tcPr>
          <w:p>
            <w:r>
              <w:t>0.116</w:t>
            </w:r>
          </w:p>
        </w:tc>
      </w:tr>
      <w:tr>
        <w:tc>
          <w:tcPr>
            <w:tcW w:type="dxa" w:w="1728"/>
          </w:tcPr>
          <w:p>
            <w:r>
              <w:t>10</w:t>
            </w:r>
          </w:p>
        </w:tc>
        <w:tc>
          <w:tcPr>
            <w:tcW w:type="dxa" w:w="1728"/>
          </w:tcPr>
          <w:p>
            <w:r>
              <w:t>PS_propensity_score</w:t>
            </w:r>
          </w:p>
        </w:tc>
        <w:tc>
          <w:tcPr>
            <w:tcW w:type="dxa" w:w="1728"/>
          </w:tcPr>
          <w:p>
            <w:r>
              <w:t>0.005</w:t>
            </w:r>
          </w:p>
        </w:tc>
        <w:tc>
          <w:tcPr>
            <w:tcW w:type="dxa" w:w="1728"/>
          </w:tcPr>
          <w:p>
            <w:r>
              <w:t>0.01695</w:t>
            </w:r>
          </w:p>
        </w:tc>
        <w:tc>
          <w:tcPr>
            <w:tcW w:type="dxa" w:w="1728"/>
          </w:tcPr>
          <w:p>
            <w:r>
              <w:t>0.138</w:t>
            </w:r>
          </w:p>
        </w:tc>
      </w:tr>
      <w:tr>
        <w:tc>
          <w:tcPr>
            <w:tcW w:type="dxa" w:w="1728"/>
          </w:tcPr>
          <w:p>
            <w:r>
              <w:t>10</w:t>
            </w:r>
          </w:p>
        </w:tc>
        <w:tc>
          <w:tcPr>
            <w:tcW w:type="dxa" w:w="1728"/>
          </w:tcPr>
          <w:p>
            <w:r>
              <w:t>Prognostic_score</w:t>
            </w:r>
          </w:p>
        </w:tc>
        <w:tc>
          <w:tcPr>
            <w:tcW w:type="dxa" w:w="1728"/>
          </w:tcPr>
          <w:p>
            <w:r>
              <w:t>0.022</w:t>
            </w:r>
          </w:p>
        </w:tc>
        <w:tc>
          <w:tcPr>
            <w:tcW w:type="dxa" w:w="1728"/>
          </w:tcPr>
          <w:p>
            <w:r>
              <w:t>0.01365</w:t>
            </w:r>
          </w:p>
        </w:tc>
        <w:tc>
          <w:tcPr>
            <w:tcW w:type="dxa" w:w="1728"/>
          </w:tcPr>
          <w:p>
            <w:r>
              <w:t>0.306</w:t>
            </w:r>
          </w:p>
        </w:tc>
      </w:tr>
      <w:tr>
        <w:tc>
          <w:tcPr>
            <w:tcW w:type="dxa" w:w="1728"/>
          </w:tcPr>
          <w:p>
            <w:r>
              <w:t>10</w:t>
            </w:r>
          </w:p>
        </w:tc>
        <w:tc>
          <w:tcPr>
            <w:tcW w:type="dxa" w:w="1728"/>
          </w:tcPr>
          <w:p>
            <w:r>
              <w:t>baseline_oracle_kmeans</w:t>
            </w:r>
          </w:p>
        </w:tc>
        <w:tc>
          <w:tcPr>
            <w:tcW w:type="dxa" w:w="1728"/>
          </w:tcPr>
          <w:p>
            <w:r>
              <w:t>0.586</w:t>
            </w:r>
          </w:p>
        </w:tc>
        <w:tc>
          <w:tcPr>
            <w:tcW w:type="dxa" w:w="1728"/>
          </w:tcPr>
          <w:p>
            <w:r>
              <w:t>0.01231</w:t>
            </w:r>
          </w:p>
        </w:tc>
        <w:tc>
          <w:tcPr>
            <w:tcW w:type="dxa" w:w="1728"/>
          </w:tcPr>
          <w:p>
            <w:r>
              <w:t>0.374</w:t>
            </w:r>
          </w:p>
        </w:tc>
      </w:tr>
      <w:tr>
        <w:tc>
          <w:tcPr>
            <w:tcW w:type="dxa" w:w="1728"/>
          </w:tcPr>
          <w:p>
            <w:r>
              <w:t>10</w:t>
            </w:r>
          </w:p>
        </w:tc>
        <w:tc>
          <w:tcPr>
            <w:tcW w:type="dxa" w:w="1728"/>
          </w:tcPr>
          <w:p>
            <w:r>
              <w:t>baseline_oracle_quantile</w:t>
            </w:r>
          </w:p>
        </w:tc>
        <w:tc>
          <w:tcPr>
            <w:tcW w:type="dxa" w:w="1728"/>
          </w:tcPr>
          <w:p>
            <w:r>
              <w:t>0.086</w:t>
            </w:r>
          </w:p>
        </w:tc>
        <w:tc>
          <w:tcPr>
            <w:tcW w:type="dxa" w:w="1728"/>
          </w:tcPr>
          <w:p>
            <w:r>
              <w:t>0.01213</w:t>
            </w:r>
          </w:p>
        </w:tc>
        <w:tc>
          <w:tcPr>
            <w:tcW w:type="dxa" w:w="1728"/>
          </w:tcPr>
          <w:p>
            <w:r>
              <w:t>0.383</w:t>
            </w:r>
          </w:p>
        </w:tc>
      </w:tr>
      <w:tr>
        <w:tc>
          <w:tcPr>
            <w:tcW w:type="dxa" w:w="1728"/>
          </w:tcPr>
          <w:p>
            <w:r>
              <w:t>10</w:t>
            </w:r>
          </w:p>
        </w:tc>
        <w:tc>
          <w:tcPr>
            <w:tcW w:type="dxa" w:w="1728"/>
          </w:tcPr>
          <w:p>
            <w:r>
              <w:t>baseline_random</w:t>
            </w:r>
          </w:p>
        </w:tc>
        <w:tc>
          <w:tcPr>
            <w:tcW w:type="dxa" w:w="1728"/>
          </w:tcPr>
          <w:p>
            <w:r>
              <w:t>-0.001</w:t>
            </w:r>
          </w:p>
        </w:tc>
        <w:tc>
          <w:tcPr>
            <w:tcW w:type="dxa" w:w="1728"/>
          </w:tcPr>
          <w:p>
            <w:r>
              <w:t>0.01922</w:t>
            </w:r>
          </w:p>
        </w:tc>
        <w:tc>
          <w:tcPr>
            <w:tcW w:type="dxa" w:w="1728"/>
          </w:tcPr>
          <w:p>
            <w:r>
              <w:t>0.022</w:t>
            </w:r>
          </w:p>
        </w:tc>
      </w:tr>
    </w:tbl>
    <w:p>
      <w:r/>
      <w:r>
        <w:rPr>
          <w:i/>
        </w:rPr>
        <w:t>Table 2. Sensitivity of random-effects ATE bias reduction to the number of strata.</w:t>
      </w:r>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jc w:val="center"/>
      </w:pPr>
      <w:r>
        <w:rPr>
          <w:b/>
        </w:rPr>
        <w:t>Figure 2. Random-effects ATE bias reduction as the number of strata varies.</w:t>
      </w:r>
    </w:p>
    <w:p>
      <w:pPr>
        <w:pStyle w:val="Heading2"/>
      </w:pPr>
      <w:r>
        <w:t>Comparison with study-level meta-analysis</w:t>
      </w:r>
    </w:p>
    <w:p>
      <w:r>
        <w:t>An important benchmark for any IPD method is whether it improves on a conventional study-level random-effects meta-analysis. In our design, the true study identifiers carried genuine between-study heterogeneity in baseline risk and treatment prevalence but did not perfectly align with the hidden effect modifier. For comparison, random-effects pooling across the true study identifiers (i.e. a study-level meta-analysis) gave an absolute ATE bias of 0.01568 (reduction 0.00296 from crude 0.01865). This benchmark places the data-driven stratification results in context: even the best data-driven strata reduced bias by a similar magnitude to using the true study identifier as a random-effect, but neither approach eliminated bias entirely because neither fully captures the hidden modifier.</w:t>
      </w:r>
    </w:p>
    <w:p>
      <w:pPr>
        <w:pStyle w:val="Heading2"/>
      </w:pPr>
      <w:r>
        <w:t>Semi-synthetic illustrations</w:t>
      </w:r>
    </w:p>
    <w:p>
      <w:r>
        <w:t>Five well-known Simpson-paradox examples were reconstructed as pseudo-individual records and pseudo-general variables were generated to mimic proxies of the known confounder (Morris 2021)(Charig et al. 1986)(Bickel et al. 1975)(von Kügelgen et al. 2021)(Appleton et al. 1996). High ARI was obtained only when the pseudo-variables were strongly correlated with a low-dimensional confounder. Table 3 and Figure 3 present the best non-oracle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r/>
      <w:r>
        <w:rPr>
          <w:i/>
        </w:rPr>
        <w:t>Table 3. Best real-data illustration result per dataset (oracle baselines excluded).</w:t>
      </w:r>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illustration: ARI by dataset and method.</w:t>
      </w:r>
    </w:p>
    <w:p>
      <w:pPr>
        <w:pStyle w:val="Heading1"/>
      </w:pPr>
      <w:r>
        <w:t>4. Discussion</w:t>
      </w:r>
    </w:p>
    <w:p>
      <w:pPr>
        <w:pStyle w:val="Heading1"/>
      </w:pPr>
      <w:r>
        <w:t>4. Discussion</w:t>
      </w:r>
    </w:p>
    <w:p>
      <w:pPr>
        <w:pStyle w:val="Heading2"/>
      </w:pPr>
      <w:r>
        <w:t>Principal findings</w:t>
      </w:r>
    </w:p>
    <w:p>
      <w:r>
        <w:t>This study frames Incoherence-Oriented Neutralisation and Extraction (IONE) as an exploratory diagnostic for hidden effect modification in individual participant data (IPD) meta-analysis. The principal findings are twofold. First, the coherence diagnostics C1 and W can signal when a pooled IPD contains hidden effect modification: methods that captured more of the true Z structure produced lower C1 (stronger between-stratum heterogeneity) and higher W (greater within-stratum homogeneity). Second, stratification-based extraction of coherent subpopulations was conditionally successful: the Oracle baseline that used the true hidden variables directly achieved an ARI of 0.372, whereas the best non-Oracle method (1B_residual) reached only 0.032. This gap reflects the fundamental difficulty of recovering a multi-dimensional hidden effect-modifier from measured covariates that carry only moderate traces of the unmeasured variable.</w:t>
      </w:r>
    </w:p>
    <w:p>
      <w:r>
        <w:t>Despite the modest recovery of the true partition, the best data-driven method reduced the crude ATE bias from 0.01865 to 0.00816 on the risk-difference scale (relative reduction 0.563) when stratum-specific estimates were pooled with a DerSimonian-Laird random-effects meta-analysis. The additional bias reduction from random-effects pooling, relative to a simple fixed-effect stratum-size-weighted summary, underscores the importance of allowing stratum-specific effects to vary once hidden heterogeneity has been flagged.</w:t>
      </w:r>
    </w:p>
    <w:p>
      <w:pPr>
        <w:pStyle w:val="Heading2"/>
      </w:pPr>
      <w:r>
        <w:t>Detection versus extraction</w:t>
      </w:r>
    </w:p>
    <w:p>
      <w:r>
        <w:t xml:space="preserve">A two-tier interpretation is useful in practice. The first tier, detection, asks whether the pooled population is incoherent with respect to the treatment effect. C1 and W address this question without requiring the analyst to specify the number or nature of hidden subgroups. If C1 is low and </w:t>
      </w:r>
      <m:oMath>
        <m:sSub>
          <m:e>
            <m:r>
              <m:t xml:space="preserve">W</m:t>
            </m:r>
          </m:e>
          <m:sub>
            <m:r>
              <m:t xml:space="preserve">est</m:t>
            </m:r>
          </m:sub>
        </m:sSub>
      </m:oMath>
      <w:r>
        <w:t xml:space="preserve"> is low, the analyst has evidence that a marginal summary may be misleading and should be interpreted cautiously. The second tier, extraction, attempts to recover the hidden subgroups and produce stratum-specific estimates. Our results show that extraction is much harder than detection: even when C1 signals heterogeneity, the discovered strata often do not align closely with the true hidden structure. The practical value of IONE therefore lies primarily in the detection tier and in the partial improvement of ATE estimation, rather than in perfect confounding adjustment.</w:t>
      </w:r>
    </w:p>
    <w:p>
      <w:pPr>
        <w:pStyle w:val="Heading2"/>
      </w:pPr>
      <w:r>
        <w:t>Comparison with existing methods</w:t>
      </w:r>
    </w:p>
    <w:p>
      <w:r>
        <w:t>IONE differs from established confounding adjustment methods in its objectives and assumptions. Propensity-score methods (Rosenbaum and Rubin 1983) and prognostic-score stratification (Hansen 2008) aim to balance or adjust for measured confounders; they are not designed to detect unmeasured population structure. The high-dimensional propensity-score algorithm (Schneeweiss et al. 2009) shares IONE's insight that proxy variables may carry information about unmeasured confounders, but it uses this information to improve propensity-score estimation rather than to identify subgroups or report a coherence diagnostic. Latent class analysis (McLachlan and Peel 2000) seeks hidden subgroups but typically requires strong distributional assumptions and does not provide a transparent between-stratum heterogeneity statistic analogous to C1.</w:t>
      </w:r>
    </w:p>
    <w:p>
      <w:r>
        <w:t>IONE is best understood as complementary to these methods. We envision a workflow in which IONE is applied before or alongside a conventional IPD meta-analysis: if C1 indicates incoherence, the pooled sample is stratified, and standard adjustment methods are applied within each stratum or the stratum-specific risk differences are synthesised with a random-effects model. This two-stage approach—first assessing hidden population structure, then adjusting for measured confounders—may yield more reliable estimates than either approach alone, although our simulation shows the gains are modest under moderate Z-&gt;X trace strength.</w:t>
      </w:r>
    </w:p>
    <w:p>
      <w:pPr>
        <w:pStyle w:val="Heading2"/>
      </w:pPr>
      <w:r>
        <w:t>Strengths and limitations</w:t>
      </w:r>
    </w:p>
    <w:p>
      <w:r/>
      <w:r>
        <w:rPr>
          <w:b/>
        </w:rPr>
        <w:t>Strengths.</w:t>
      </w:r>
      <w:r>
        <w:t xml:space="preserve"> This simulation study followed the ADEMP framework (Morris et al. 2019), with transparent reporting of the data-generating mechanism, estimands, candidate methods, performance metrics and number of replications. All numerical results are produced by the repository scripts and inserted into the manuscript automatically, so the docx and markdown files can be regenerated without hand-entered numbers. The IPD data-generating mechanism includes study-level variation in baseline risk, treatment prevalence and covariate distributions, which mirrors the heterogeneity encountered in real IPD meta-analyses.</w:t>
      </w:r>
    </w:p>
    <w:p>
      <w:r/>
      <w:r>
        <w:rPr>
          <w:b/>
        </w:rPr>
        <w:t>Limitations.</w:t>
      </w:r>
      <w:r>
        <w:t xml:space="preserve"> Several limitations should be acknowledged. First, the simulation used a single total sample size (n=2000) and a moderate Z-&gt;X trace. Performance is likely to improve with stronger covariate traces or larger samples, and to deteriorate with weaker traces or fewer studies. Second, the true-Z partition is an operational construct: it is formed by clustering the simulated critical variables rather than by clinically observed subgroups. ARI therefore measures agreement with a constructed reference and should not be over-interpreted as clinical validity. Third, </w:t>
      </w:r>
      <m:oMath>
        <m:sSub>
          <m:e>
            <m:r>
              <m:t xml:space="preserve">W</m:t>
            </m:r>
          </m:e>
          <m:sub>
            <m:r>
              <m:t xml:space="preserve">est</m:t>
            </m:r>
          </m:sub>
        </m:sSub>
      </m:oMath>
      <w:r>
        <w:t xml:space="preserve"> depends on a correctly specified outcome model (</w:t>
      </w:r>
      <m:oMath>
        <m:r>
          <m:t xml:space="preserve">Y ~ X + A + X×A</m:t>
        </m:r>
      </m:oMath>
      <w:r>
        <w:t xml:space="preserve">). If the outcome model is misspecified, </w:t>
      </w:r>
      <m:oMath>
        <m:sSub>
          <m:e>
            <m:r>
              <m:t xml:space="preserve">W</m:t>
            </m:r>
          </m:e>
          <m:sub>
            <m:r>
              <m:t xml:space="preserve">est</m:t>
            </m:r>
          </m:sub>
        </m:sSub>
      </m:oMath>
      <w:r>
        <w:t xml:space="preserve"> may be misleading. Fourth, the semi-synthetic illustrations use aggregate published data reconstructed as pseudo-individual records; they demonstrate favourable and unfavourable settings for stratification but are not validation in real individual-level IPD.</w:t>
      </w:r>
    </w:p>
    <w:p>
      <w:pPr>
        <w:pStyle w:val="Heading2"/>
      </w:pPr>
      <w:r>
        <w:t>Implications for practice</w:t>
      </w:r>
    </w:p>
    <w:p>
      <w:r>
        <w:t xml:space="preserve">We recommend that reports of IPD meta-analyses include a coherence assessment alongside the conventional summary of between-study heterogeneity. If C1 is low and </w:t>
      </w:r>
      <m:oMath>
        <m:sSub>
          <m:e>
            <m:r>
              <m:t xml:space="preserve">W</m:t>
            </m:r>
          </m:e>
          <m:sub>
            <m:r>
              <m:t xml:space="preserve">est</m:t>
            </m:r>
          </m:sub>
        </m:sSub>
      </m:oMath>
      <w:r>
        <w:t xml:space="preserve"> is small, the marginal effect should be interpreted cautiously, and the analyst should explore prespecified subgroups, measured treatment-covariate interactions and sensitivity analyses. The method is most promising when important effect modifiers are known to influence routine measurements (e.g. age or disease severity affecting laboratory values), which is common in clinical epidemiology. The diagnostics should be reported alongside—not instead of—conventional meta-analytic models and covariate adjustment.</w:t>
      </w:r>
    </w:p>
    <w:p>
      <w:pPr>
        <w:pStyle w:val="Heading2"/>
      </w:pPr>
      <w:r>
        <w:t>Future directions</w:t>
      </w:r>
    </w:p>
    <w:p>
      <w:r>
        <w:t>Several extensions would strengthen the framework. Survival outcomes are common in IPD meta-analyses; adapting C1 and W to hazard ratios requires care because of non-collapsibility. Network meta-analyses with multiple treatments introduce additional heterogeneity dimensions, and IONE diagnostics could be applied to subsets of studies or contrast-specific summaries. Bayesian hierarchical models offer a natural framework for quantifying uncertainty in the discovered strata and could replace the two-stage DerSimonian-Laird summary used here. Finally, validation on real individual-level clinical data with measured but deliberately withheld effect modifiers would provide the strongest test of practical utility.</w:t>
      </w:r>
    </w:p>
    <w:p>
      <w:pPr>
        <w:pStyle w:val="Heading1"/>
      </w:pPr>
      <w:r>
        <w:t>5. Conclusions</w:t>
      </w:r>
    </w:p>
    <w:p>
      <w:r>
        <w:t>We have introduced IONE (Incoherence-Oriented Neutralisation and Extraction) as an exploratory diagnostic for hidden effect modification in IPD meta-analysis. Through Monte Carlo simulation and semi-synthetic examples, we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Coherence indicator 1 (I²-based)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Within-stratum homogeneity indicator</w:t>
            </w:r>
          </w:p>
        </w:tc>
      </w:tr>
    </w:tbl>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The simulation code and analysis scripts are available at https://github.com/bougtoir/ione-stratification-framework. The published datasets used for empirical validation are referenced in the original publications (Charig et al. 1986)(Bickel et al. 1975)(von Kügelgen et al. 2021)(Morris 2021)(Appleton et al. 1996).</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w:t>
      </w:r>
    </w:p>
    <w:p>
      <w:r>
        <w:t>[T. Onishi designed the study, developed the methodology, performed the analyses and wrote the manuscript.]</w:t>
      </w:r>
    </w:p>
    <w:p>
      <w:pPr>
        <w:pStyle w:val="Heading2"/>
      </w:pPr>
      <w:r>
        <w:t>Acknowledgements</w:t>
      </w:r>
    </w:p>
    <w:p>
      <w:r>
        <w:t>Not applicable.</w:t>
      </w:r>
    </w:p>
    <w:p>
      <w:pPr>
        <w:pStyle w:val="Heading2"/>
      </w:pPr>
      <w:r>
        <w:t>Artificial intelligence</w:t>
      </w:r>
    </w:p>
    <w:p>
      <w:r>
        <w:t>Large language models were used as a writing and coding aid. All scientific content, data, analyses and interpretations were reviewed and approved by the authors.</w:t>
      </w:r>
    </w:p>
    <w:p>
      <w:r>
        <w:br w:type="page"/>
      </w:r>
    </w:p>
    <w:p>
      <w:pPr>
        <w:pStyle w:val="Heading1"/>
      </w:pPr>
      <w:r>
        <w:t>References</w:t>
      </w:r>
    </w:p>
    <w:p>
      <w:r>
        <w:t>Angrist JD, Imbens GW, Rubin DB. Identification of causal effects using instrumental variables. J Am Stat Assoc. 1996;91(434):444–455.</w:t>
      </w:r>
    </w:p>
    <w:p>
      <w:r>
        <w:t>Appleton DR, French NR, Vanderpump MP. Ignoring a covariate: an example of Simpson's paradox. Am Stat. 1996;50(4):340–341.</w:t>
      </w:r>
    </w:p>
    <w:p>
      <w:r>
        <w:t>Austin PC, Stuart EA. Moving towards best practice when using inverse probability of treatment weighting (IPTW) using the propensity score to estimate causal treatment effects in observational studies. Stat Med. 2015;34(28):3661–3679.</w:t>
      </w:r>
    </w:p>
    <w:p>
      <w:r>
        <w:t>Bickel PJ, Hammel EA, O'Connell JW. Sex bias in graduate admissions: data from Berkeley. Science. 1975;187(4175):398–404.</w:t>
      </w:r>
    </w:p>
    <w:p>
      <w:r>
        <w:t>Borenstein M, Hedges LV, Higgins JPT, Rothstein HR. Introduction to Meta-Analysis. Chichester: John Wiley &amp; Sons; 2009.</w:t>
      </w:r>
    </w:p>
    <w:p>
      <w:r>
        <w:t>Charig CR, Webb DR, Payne SR, Wickham JE. Comparison of treatment of renal calculi by open surgery, percutaneous nephrolithotomy, and extracorporeal shockwave lithotripsy. BMJ. 1986;292(6521):879–882.</w:t>
      </w:r>
    </w:p>
    <w:p>
      <w:r>
        <w:t>DerSimonian R, Laird N. Meta-analysis in clinical trials. Control Clin Trials. 1986;7(3):177–188.</w:t>
      </w:r>
    </w:p>
    <w:p>
      <w:r>
        <w:t>Greenland S, Robins JM, Pearl J. Confounding and collapsibility in causal inference. Stat Sci. 1999;14(1):29–46.</w:t>
      </w:r>
    </w:p>
    <w:p>
      <w:r>
        <w:t>Hammerton G, Munafò MR. Causal inference with observational data: the need for triangulation of evidence. Psychol Med. 2021;51(4):563–578.</w:t>
      </w:r>
    </w:p>
    <w:p>
      <w:r>
        <w:t>Hansen BB. The prognostic analogue of the propensity score. Biometrika. 2008;95(2):481–488.</w:t>
      </w:r>
    </w:p>
    <w:p>
      <w:r>
        <w:t>Hayes-Larson E, Kezios KL, Mooney SJ, Lovasi G. Who is in this study, anyway? Guidelines for a useful Table 1. J Clin Epidemiol. 2019;114:125–132.</w:t>
      </w:r>
    </w:p>
    <w:p>
      <w:r>
        <w:t>Hernán MA, Robins JM. Causal Inference: What If. Boca Raton: Chapman &amp; Hall/CRC; 2020.</w:t>
      </w:r>
    </w:p>
    <w:p>
      <w:r>
        <w:t>Higgins JPT, Thompson SG. Quantifying heterogeneity in a meta-analysis. Stat Med. 2002;21(11):1539–1558.</w:t>
      </w:r>
    </w:p>
    <w:p>
      <w:r>
        <w:t>Hubert L, Arabie P. Comparing partitions. J Classif. 1985;2(1):193–218.</w:t>
      </w:r>
    </w:p>
    <w:p>
      <w:r>
        <w:t>Julious SA, Mullee MA. Confounding and Simpson's paradox. BMJ. 1994;309(6967):1480–1481.</w:t>
      </w:r>
    </w:p>
    <w:p>
      <w:r>
        <w:t>McLachlan GJ, Peel D. Finite Mixture Models. New York: Wiley; 2000.</w:t>
      </w:r>
    </w:p>
    <w:p>
      <w:r>
        <w:t>Miettinen OS. Stratification by a multivariate confounder score. Am J Epidemiol. 1976;104(6):609–620.</w:t>
      </w:r>
    </w:p>
    <w:p>
      <w:r>
        <w:t>Morris JS. Israeli data: how can efficacy vs. severe disease be strong when 60% of hospitalized are vaccinated? 2021. Available from: https://www.covid-datascience.com/post/israeli-data-how-can-efficacy-vs-severe-disease-be-strong-when-60-of-hospitalized-are-vaccinated</w:t>
      </w:r>
    </w:p>
    <w:p>
      <w:r>
        <w:t>Morris TP, White IR, Crowther MJ. Using simulation studies to evaluate statistical methods. Stat Med. 2019;38(11):2074–2102.</w:t>
      </w:r>
    </w:p>
    <w:p>
      <w:r>
        <w:t>Pearl J. Causality. 2nd ed. Cambridge: Cambridge University Press; 2009.</w:t>
      </w:r>
    </w:p>
    <w:p>
      <w:r>
        <w:t>Rassen JA, Schneeweiss S. Using high-dimensional propensity scores to automate confounding control in a distributed medical product safety surveillance system. Pharmacoepidemiol Drug Saf. 2012;21(S1):41–49.</w:t>
      </w:r>
    </w:p>
    <w:p>
      <w:r>
        <w:t>Riley RD, Lambert PC, Abo-Zaid G. Meta-analysis of individual participant data: rationale, conduct, and reporting. BMJ. 2010;340:c221.</w:t>
      </w:r>
    </w:p>
    <w:p>
      <w:r>
        <w:t>Riley RD, Higgins JPT, Deeks JJ. Interpretation of random effects meta-analyses. BMJ. 2011;342:d549.</w:t>
      </w:r>
    </w:p>
    <w:p>
      <w:r>
        <w:t>Robinson WS. Ecological correlations and the behavior of individuals. Am Sociol Rev. 1950;15(3):351–357.</w:t>
      </w:r>
    </w:p>
    <w:p>
      <w:r>
        <w:t>Rojanaworarit C. Misleading epidemiological and statistical evidence in the presence of Simpson's paradox: an illustrative study using simulated scenarios. J Med Life. 2020;13(1):37–44.</w:t>
      </w:r>
    </w:p>
    <w:p>
      <w:r>
        <w:t>Rosenbaum PR, Rubin DB. The central role of the propensity score in observational studies for causal effects. Biometrika. 1983;70(1):41–55.</w:t>
      </w:r>
    </w:p>
    <w:p>
      <w:r>
        <w:t>Rubin DB. Estimating causal effects of treatments in randomized and nonrandomized studies. J Educ Psychol. 1974;66(5):688–701.</w:t>
      </w:r>
    </w:p>
    <w:p>
      <w:r>
        <w:t>Schneeweiss S, Rassen JA, Glynn RJ, Avorn J, Mogun H, Brookhart MA. High-dimensional propensity score adjustment in studies of treatment effects using health care claims data. Epidemiology. 2009;20(4):512–522.</w:t>
      </w:r>
    </w:p>
    <w:p>
      <w:r>
        <w:t>Simmonds MC, Higgins JPT, Stewart LA, Tierney JF, Clarke MJ, Thompson SG. Meta-analysis of individual patient data from randomized trials: a review of methods used in practice. Clin Trials. 2005;2(3):209–217.</w:t>
      </w:r>
    </w:p>
    <w:p>
      <w:r>
        <w:t>Simpson EH. The interpretation of interaction in contingency tables. J R Stat Soc Ser B. 1951;13(2):238–241.</w:t>
      </w:r>
    </w:p>
    <w:p>
      <w:r>
        <w:t>Strehl A, Ghosh J. Cluster ensembles—a knowledge reuse framework for combining multiple partitions. J Mach Learn Res. 2002;3:583–617.</w:t>
      </w:r>
    </w:p>
    <w:p>
      <w:r>
        <w:t>Tchetgen Tchetgen EJ, Ying A, Cui Y, Shi X, Miao W. An introduction to proximal causal inference. Stat Sci. 2024;39(3):375–390.</w:t>
      </w:r>
    </w:p>
    <w:p>
      <w:r>
        <w:t>VanderWeele TJ, Shpitser I. On the definition of a confounder. Ann Stat. 2013;41(1):196–220.</w:t>
      </w:r>
    </w:p>
    <w:p>
      <w:r>
        <w:t>VanderWeele TJ, Knol MJ. A tutorial on interaction. Epidemiol Methods. 2014;3(1):33–72.</w:t>
      </w:r>
    </w:p>
    <w:p>
      <w:r>
        <w:t>VanderWeele TJ. Explanation in Causal Inference: Methods for Mediation and Interaction. Oxford: Oxford University Press; 2015.</w:t>
      </w:r>
    </w:p>
    <w:p>
      <w:r>
        <w:t>von Kügelgen J, Gresele L, Schölkopf B. Simpson's paradox in Covid-19 case fatality rates: a mediation analysis of age-related causal effects. IEEE Trans Artif Intell. 2021;2(1):18–27.</w:t>
      </w:r>
    </w:p>
    <w:p>
      <w:r>
        <w:t>Wyss R, Schneeweiss S, van der Laan M, Lendle SD, Ju C, Franklin JM. Machine learning for improving high-dimensional proxy confounder adjustment in healthcare database studies. Stat Med. 2018;37(8):1310–1324.</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