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for hidden effect modification in individual participant data meta-analysis: IONE (Incoherence-Oriented Neutralisation and Extraction) and a simulation benchmark of stratification approaches</w:t>
      </w:r>
    </w:p>
    <w:p>
      <w:r>
        <w:br w:type="page"/>
      </w:r>
    </w:p>
    <w:p>
      <w:pPr>
        <w:pStyle w:val="Heading1"/>
      </w:pPr>
      <w:r>
        <w:t>Abstract</w:t>
      </w:r>
    </w:p>
    <w:p>
      <w:r/>
      <w:r>
        <w:rPr>
          <w:b/>
        </w:rPr>
        <w:t>Background:</w:t>
      </w:r>
      <w:r>
        <w:t xml:space="preserve"> In individual participant data (IPD) meta-analysis, marginal effect estimates can be biased by hidden effect modifiers. We introduce coherence diagnostics C1 and W and evaluate them in a simulation benchmark of stratification approaches.</w:t>
      </w:r>
    </w:p>
    <w:p>
      <w:r/>
      <w:r>
        <w:rPr>
          <w:b/>
        </w:rPr>
        <w:t>Methods:</w:t>
      </w:r>
      <w:r>
        <w:t xml:space="preserve"> We simulated an IPD meta-analysis with 10 studies,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empirical null distributions.</w:t>
      </w:r>
    </w:p>
    <w:p>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Relative bias reduction improved as the Z-to-Y effect strengthened, while sample-size gains were method-specific; W excess showed weak discrimination.</w:t>
      </w:r>
    </w:p>
    <w:p>
      <w:r/>
      <w:r>
        <w:rPr>
          <w:b/>
        </w:rPr>
        <w:t>Conclusions:</w:t>
      </w:r>
      <w:r>
        <w:t xml:space="preserve"> IONE is a descriptive sensitivity tool, not an inferential test for hidden effect modification. It should be reported alongside conventional meta-analytic models and covariate adjustment.</w:t>
      </w:r>
    </w:p>
    <w:p>
      <w:r/>
      <w:r>
        <w:rPr>
          <w:b/>
        </w:rPr>
        <w:t>Keywords:</w:t>
      </w:r>
      <w:r>
        <w:t xml:space="preserve"> individual participant data meta-analysis; evidence synthesis; heterogeneity; hidden effect modification; stratification; simulation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pPr>
      <w:r>
        <w:t>2. Methods</w:t>
      </w:r>
    </w:p>
    <w:p>
      <w:r>
        <w:t xml:space="preserve">This simulation study follows the ADEMP framework </w:t>
      </w:r>
      <w:r>
        <w:rPr>
          <w:vertAlign w:val="superscript"/>
        </w:rPr>
        <w:t>16</w:t>
      </w:r>
      <w:r>
        <w:t>.</w:t>
      </w:r>
    </w:p>
    <w:p>
      <w:pPr>
        <w:pStyle w:val="Heading2"/>
      </w:pPr>
      <w:r>
        <w:t>Aims</w:t>
      </w:r>
    </w:p>
    <w:p>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pPr>
      <w:r>
        <w:t>Study-level meta-analysis benchmark</w:t>
      </w:r>
    </w:p>
    <w:p>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pPr>
      <w:r>
        <w:t>Evaluation metrics</w:t>
      </w:r>
    </w:p>
    <w:p>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r/>
      <w:r>
        <w:rPr>
          <w:b/>
        </w:rPr>
        <w:t>ATE bias reduction:</w:t>
      </w:r>
      <w:r>
        <w:t xml:space="preserve"> absolute differences between crude, stratified and random-effects estimates, plus relative ratios. Monte Carlo SE and 95% CI accompany every mean.</w:t>
      </w:r>
    </w:p>
    <w:p>
      <w:pPr>
        <w:pStyle w:val="Heading2"/>
      </w:pPr>
      <w:r>
        <w:t>Empirical null distribution and null-centred reporting</w:t>
      </w:r>
    </w:p>
    <w:p>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pPr>
      <w:r>
        <w:t>Diagnostic calibration using the empirical null</w:t>
      </w:r>
    </w:p>
    <w:p>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pPr>
      <w:r>
        <w:t>True-CATE-quantile oracle reference</w:t>
      </w:r>
    </w:p>
    <w:p>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Reporting and reproducibility</w:t>
      </w:r>
    </w:p>
    <w:p>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pPr>
      <w:r>
        <w:t>3. Results</w:t>
      </w:r>
    </w:p>
    <w:p>
      <w:pPr>
        <w:pStyle w:val="Heading2"/>
      </w:pPr>
      <w:r>
        <w:t>Primary IPD scenario</w:t>
      </w:r>
    </w:p>
    <w:p>
      <w:r>
        <w:t xml:space="preserve">Table 1 reports the primary scenario (n=2000, 10 studies, K=5). Agreement with the constructed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Diagnostic discrimination against the empirical null</w:t>
      </w:r>
    </w:p>
    <w:p>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AUC</w:t>
            </w:r>
          </w:p>
        </w:tc>
        <w:tc>
          <w:tcPr>
            <w:tcW w:type="dxa" w:w="1728"/>
          </w:tcPr>
          <w:p>
            <w:r>
              <w:rPr>
                <w:b/>
              </w:rPr>
              <w:t>C1 TPR@5% FPR</w:t>
            </w:r>
          </w:p>
        </w:tc>
        <w:tc>
          <w:tcPr>
            <w:tcW w:type="dxa" w:w="1728"/>
          </w:tcPr>
          <w:p>
            <m:oMath>
              <m:sSub>
                <m:e>
                  <m:r>
                    <m:t xml:space="preserve">W</m:t>
                  </m:r>
                </m:e>
                <m:sub>
                  <m:r>
                    <m:t xml:space="preserve">est</m:t>
                  </m:r>
                </m:sub>
              </m:sSub>
            </m:oMath>
            <w:r>
              <w:rPr>
                <w:b/>
              </w:rPr>
              <w:t xml:space="preserve"> AUC</w:t>
            </w:r>
          </w:p>
        </w:tc>
        <w:tc>
          <w:tcPr>
            <w:tcW w:type="dxa" w:w="1728"/>
          </w:tcPr>
          <w:p>
            <m:oMath>
              <m:sSub>
                <m:e>
                  <m:r>
                    <m:t xml:space="preserve">W</m:t>
                  </m:r>
                </m:e>
                <m:sub>
                  <m:r>
                    <m:t xml:space="preserve">est</m:t>
                  </m:r>
                </m:sub>
              </m:sSub>
            </m:oMath>
            <w:r>
              <w:rPr>
                <w:b/>
              </w:rPr>
              <w:t xml:space="preserve"> TPR@5% FPR</w:t>
            </w:r>
          </w:p>
        </w:tc>
      </w:tr>
      <w:tr>
        <w:tc>
          <w:tcPr>
            <w:tcW w:type="dxa" w:w="1728"/>
          </w:tcPr>
          <w:p>
            <w:r>
              <w:t>1A_predicted_prob</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1B_residual</w:t>
            </w:r>
          </w:p>
        </w:tc>
        <w:tc>
          <w:tcPr>
            <w:tcW w:type="dxa" w:w="1728"/>
          </w:tcPr>
          <w:p>
            <w:r>
              <w:t>0.460</w:t>
            </w:r>
          </w:p>
        </w:tc>
        <w:tc>
          <w:tcPr>
            <w:tcW w:type="dxa" w:w="1728"/>
          </w:tcPr>
          <w:p>
            <w:r>
              <w:t>0.060</w:t>
            </w:r>
          </w:p>
        </w:tc>
        <w:tc>
          <w:tcPr>
            <w:tcW w:type="dxa" w:w="1728"/>
          </w:tcPr>
          <w:p>
            <w:r>
              <w:t>0.542</w:t>
            </w:r>
          </w:p>
        </w:tc>
        <w:tc>
          <w:tcPr>
            <w:tcW w:type="dxa" w:w="1728"/>
          </w:tcPr>
          <w:p>
            <w:r>
              <w:t>0.060</w:t>
            </w:r>
          </w:p>
        </w:tc>
      </w:tr>
      <w:tr>
        <w:tc>
          <w:tcPr>
            <w:tcW w:type="dxa" w:w="1728"/>
          </w:tcPr>
          <w:p>
            <w:r>
              <w:t>1C_cv_decision</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2A_PCA_cum60</w:t>
            </w:r>
          </w:p>
        </w:tc>
        <w:tc>
          <w:tcPr>
            <w:tcW w:type="dxa" w:w="1728"/>
          </w:tcPr>
          <w:p>
            <w:r>
              <w:t>0.464</w:t>
            </w:r>
          </w:p>
        </w:tc>
        <w:tc>
          <w:tcPr>
            <w:tcW w:type="dxa" w:w="1728"/>
          </w:tcPr>
          <w:p>
            <w:r>
              <w:t>0.060</w:t>
            </w:r>
          </w:p>
        </w:tc>
        <w:tc>
          <w:tcPr>
            <w:tcW w:type="dxa" w:w="1728"/>
          </w:tcPr>
          <w:p>
            <w:r>
              <w:t>0.490</w:t>
            </w:r>
          </w:p>
        </w:tc>
        <w:tc>
          <w:tcPr>
            <w:tcW w:type="dxa" w:w="1728"/>
          </w:tcPr>
          <w:p>
            <w:r>
              <w:t>0.060</w:t>
            </w:r>
          </w:p>
        </w:tc>
      </w:tr>
      <w:tr>
        <w:tc>
          <w:tcPr>
            <w:tcW w:type="dxa" w:w="1728"/>
          </w:tcPr>
          <w:p>
            <w:r>
              <w:t>2B_clustering</w:t>
            </w:r>
          </w:p>
        </w:tc>
        <w:tc>
          <w:tcPr>
            <w:tcW w:type="dxa" w:w="1728"/>
          </w:tcPr>
          <w:p>
            <w:r>
              <w:t>0.545</w:t>
            </w:r>
          </w:p>
        </w:tc>
        <w:tc>
          <w:tcPr>
            <w:tcW w:type="dxa" w:w="1728"/>
          </w:tcPr>
          <w:p>
            <w:r>
              <w:t>0.020</w:t>
            </w:r>
          </w:p>
        </w:tc>
        <w:tc>
          <w:tcPr>
            <w:tcW w:type="dxa" w:w="1728"/>
          </w:tcPr>
          <w:p>
            <w:r>
              <w:t>0.537</w:t>
            </w:r>
          </w:p>
        </w:tc>
        <w:tc>
          <w:tcPr>
            <w:tcW w:type="dxa" w:w="1728"/>
          </w:tcPr>
          <w:p>
            <w:r>
              <w:t>0.060</w:t>
            </w:r>
          </w:p>
        </w:tc>
      </w:tr>
      <w:tr>
        <w:tc>
          <w:tcPr>
            <w:tcW w:type="dxa" w:w="1728"/>
          </w:tcPr>
          <w:p>
            <w:r>
              <w:t>GMM</w:t>
            </w:r>
          </w:p>
        </w:tc>
        <w:tc>
          <w:tcPr>
            <w:tcW w:type="dxa" w:w="1728"/>
          </w:tcPr>
          <w:p>
            <w:r>
              <w:t>0.489</w:t>
            </w:r>
          </w:p>
        </w:tc>
        <w:tc>
          <w:tcPr>
            <w:tcW w:type="dxa" w:w="1728"/>
          </w:tcPr>
          <w:p>
            <w:r>
              <w:t>0.060</w:t>
            </w:r>
          </w:p>
        </w:tc>
        <w:tc>
          <w:tcPr>
            <w:tcW w:type="dxa" w:w="1728"/>
          </w:tcPr>
          <w:p>
            <w:r>
              <w:t>0.561</w:t>
            </w:r>
          </w:p>
        </w:tc>
        <w:tc>
          <w:tcPr>
            <w:tcW w:type="dxa" w:w="1728"/>
          </w:tcPr>
          <w:p>
            <w:r>
              <w:t>0.080</w:t>
            </w:r>
          </w:p>
        </w:tc>
      </w:tr>
      <w:tr>
        <w:tc>
          <w:tcPr>
            <w:tcW w:type="dxa" w:w="1728"/>
          </w:tcPr>
          <w:p>
            <w:r>
              <w:t>PS_propensity_score</w:t>
            </w:r>
          </w:p>
        </w:tc>
        <w:tc>
          <w:tcPr>
            <w:tcW w:type="dxa" w:w="1728"/>
          </w:tcPr>
          <w:p>
            <w:r>
              <w:t>0.481</w:t>
            </w:r>
          </w:p>
        </w:tc>
        <w:tc>
          <w:tcPr>
            <w:tcW w:type="dxa" w:w="1728"/>
          </w:tcPr>
          <w:p>
            <w:r>
              <w:t>0.060</w:t>
            </w:r>
          </w:p>
        </w:tc>
        <w:tc>
          <w:tcPr>
            <w:tcW w:type="dxa" w:w="1728"/>
          </w:tcPr>
          <w:p>
            <w:r>
              <w:t>0.494</w:t>
            </w:r>
          </w:p>
        </w:tc>
        <w:tc>
          <w:tcPr>
            <w:tcW w:type="dxa" w:w="1728"/>
          </w:tcPr>
          <w:p>
            <w:r>
              <w:t>0.020</w:t>
            </w:r>
          </w:p>
        </w:tc>
      </w:tr>
      <w:tr>
        <w:tc>
          <w:tcPr>
            <w:tcW w:type="dxa" w:w="1728"/>
          </w:tcPr>
          <w:p>
            <w:r>
              <w:t>Prognostic_score</w:t>
            </w:r>
          </w:p>
        </w:tc>
        <w:tc>
          <w:tcPr>
            <w:tcW w:type="dxa" w:w="1728"/>
          </w:tcPr>
          <w:p>
            <w:r>
              <w:t>0.520</w:t>
            </w:r>
          </w:p>
        </w:tc>
        <w:tc>
          <w:tcPr>
            <w:tcW w:type="dxa" w:w="1728"/>
          </w:tcPr>
          <w:p>
            <w:r>
              <w:t>0.020</w:t>
            </w:r>
          </w:p>
        </w:tc>
        <w:tc>
          <w:tcPr>
            <w:tcW w:type="dxa" w:w="1728"/>
          </w:tcPr>
          <w:p>
            <w:r>
              <w:t>0.528</w:t>
            </w:r>
          </w:p>
        </w:tc>
        <w:tc>
          <w:tcPr>
            <w:tcW w:type="dxa" w:w="1728"/>
          </w:tcPr>
          <w:p>
            <w:r>
              <w:t>0.040</w:t>
            </w:r>
          </w:p>
        </w:tc>
      </w:tr>
      <w:tr>
        <w:tc>
          <w:tcPr>
            <w:tcW w:type="dxa" w:w="1728"/>
          </w:tcPr>
          <w:p>
            <w:r>
              <w:t>baseline_oracle_kmeans</w:t>
            </w:r>
          </w:p>
        </w:tc>
        <w:tc>
          <w:tcPr>
            <w:tcW w:type="dxa" w:w="1728"/>
          </w:tcPr>
          <w:p>
            <w:r>
              <w:t>0.507</w:t>
            </w:r>
          </w:p>
        </w:tc>
        <w:tc>
          <w:tcPr>
            <w:tcW w:type="dxa" w:w="1728"/>
          </w:tcPr>
          <w:p>
            <w:r>
              <w:t>0.000</w:t>
            </w:r>
          </w:p>
        </w:tc>
        <w:tc>
          <w:tcPr>
            <w:tcW w:type="dxa" w:w="1728"/>
          </w:tcPr>
          <w:p>
            <w:r>
              <w:t>0.506</w:t>
            </w:r>
          </w:p>
        </w:tc>
        <w:tc>
          <w:tcPr>
            <w:tcW w:type="dxa" w:w="1728"/>
          </w:tcPr>
          <w:p>
            <w:r>
              <w:t>0.040</w:t>
            </w:r>
          </w:p>
        </w:tc>
      </w:tr>
      <w:tr>
        <w:tc>
          <w:tcPr>
            <w:tcW w:type="dxa" w:w="1728"/>
          </w:tcPr>
          <w:p>
            <w:r>
              <w:t>baseline_oracle_quantile</w:t>
            </w:r>
          </w:p>
        </w:tc>
        <w:tc>
          <w:tcPr>
            <w:tcW w:type="dxa" w:w="1728"/>
          </w:tcPr>
          <w:p>
            <w:r>
              <w:t>0.507</w:t>
            </w:r>
          </w:p>
        </w:tc>
        <w:tc>
          <w:tcPr>
            <w:tcW w:type="dxa" w:w="1728"/>
          </w:tcPr>
          <w:p>
            <w:r>
              <w:t>0.000</w:t>
            </w:r>
          </w:p>
        </w:tc>
        <w:tc>
          <w:tcPr>
            <w:tcW w:type="dxa" w:w="1728"/>
          </w:tcPr>
          <w:p>
            <w:r>
              <w:t>0.537</w:t>
            </w:r>
          </w:p>
        </w:tc>
        <w:tc>
          <w:tcPr>
            <w:tcW w:type="dxa" w:w="1728"/>
          </w:tcPr>
          <w:p>
            <w:r>
              <w:t>0.060</w:t>
            </w:r>
          </w:p>
        </w:tc>
      </w:tr>
      <w:tr>
        <w:tc>
          <w:tcPr>
            <w:tcW w:type="dxa" w:w="1728"/>
          </w:tcPr>
          <w:p>
            <w:r>
              <w:t>baseline_random</w:t>
            </w:r>
          </w:p>
        </w:tc>
        <w:tc>
          <w:tcPr>
            <w:tcW w:type="dxa" w:w="1728"/>
          </w:tcPr>
          <w:p>
            <w:r>
              <w:t>0.544</w:t>
            </w:r>
          </w:p>
        </w:tc>
        <w:tc>
          <w:tcPr>
            <w:tcW w:type="dxa" w:w="1728"/>
          </w:tcPr>
          <w:p>
            <w:r>
              <w:t>0.040</w:t>
            </w:r>
          </w:p>
        </w:tc>
        <w:tc>
          <w:tcPr>
            <w:tcW w:type="dxa" w:w="1728"/>
          </w:tcPr>
          <w:p>
            <w:r>
              <w:t>0.427</w:t>
            </w:r>
          </w:p>
        </w:tc>
        <w:tc>
          <w:tcPr>
            <w:tcW w:type="dxa" w:w="1728"/>
          </w:tcPr>
          <w:p>
            <w:r>
              <w:t>0.040</w:t>
            </w:r>
          </w:p>
        </w:tc>
      </w:tr>
    </w:tbl>
    <w:p>
      <w:pPr>
        <w:spacing w:before="240"/>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pPr>
      <w:r>
        <w:t>CATE variance explained</w:t>
      </w:r>
    </w:p>
    <w:p>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pPr>
      <w:r>
        <w:t>Detection versus subgroup recovery</w:t>
      </w:r>
    </w:p>
    <w:p>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pPr>
      <w:r>
        <w:t>Comparison with study-level and covariate-adjustment approaches</w:t>
      </w:r>
    </w:p>
    <w:p>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pPr>
      <w:r>
        <w:t>W denominator and misspecification</w:t>
      </w:r>
    </w:p>
    <w:p>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pPr>
      <w:r>
        <w:t>Large-sample behaviour</w:t>
      </w:r>
    </w:p>
    <w:p>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pPr>
      <w:r>
        <w:t>Relevance to SMMR readers</w:t>
      </w:r>
    </w:p>
    <w:p>
      <w:r>
        <w:t xml:space="preserve">IONE sits between heterogeneity diagnostics and model-based effect modification in medical research. C1 re-purposes the </w:t>
      </w:r>
      <m:oMath>
        <m:sSup>
          <m:e>
            <m:r>
              <m:t xml:space="preserve">I</m:t>
            </m:r>
          </m:e>
          <m:sup>
            <m:r>
              <m:t xml:space="preserve">2</m:t>
            </m:r>
          </m:sup>
        </m:sSup>
      </m:oMath>
      <w:r>
        <w:t xml:space="preserve"> statistic for discovered strata and W connects a partition to explained CATE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IONE is best reported alongside conventional IPD meta-analysis and covariate adjustment, with standard adjustment applied within strata.</w:t>
      </w:r>
    </w:p>
    <w:p>
      <w:pPr>
        <w:pStyle w:val="Heading2"/>
      </w:pPr>
      <w:r>
        <w:t>Strengths and limitations</w:t>
      </w:r>
    </w:p>
    <w:p>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pPr>
      <w:r>
        <w:t>5. Conclusions</w:t>
      </w:r>
    </w:p>
    <w:p>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smmr_supplementary_v1.docx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Simpson EH. The interpretation of interaction in contingency tables. J R Stat Soc Ser B. 1951;13(2):238–241.</w:t>
      </w:r>
    </w:p>
    <w:p>
      <w:r>
        <w:t>10. Rojanaworarit C. Misleading epidemiological and statistical evidence in the presence of Simpson's paradox: an illustrative study using simulated scenarios. J Med Life. 2020;13(1):37–44.</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r>
        <w:t>15. Appleton DR, French NR, Vanderpump MP. Ignoring a covariate: an example of Simpson's paradox. Am Stat. 1996;50(4):340–341.</w:t>
      </w:r>
    </w:p>
    <w:p>
      <w:r>
        <w:t>16. Morris TP, White IR, Crowther MJ. Using simulation studies to evaluate statistical methods. Stat Med. 2019;38(11):2074–2102.</w:t>
      </w:r>
    </w:p>
    <w:p>
      <w:r>
        <w:t>17. Rosenbaum PR, Rubin DB. The central role of the propensity score in observational studies for causal effects. Biometrika. 1983;70(1):41–55.</w:t>
      </w:r>
    </w:p>
    <w:p>
      <w:r>
        <w:t>18. McLachlan GJ, Peel D. Finite Mixture Models. New York: Wiley; 2000.</w:t>
      </w:r>
    </w:p>
    <w:p>
      <w:r>
        <w:t>19. Hansen BB. The prognostic analogue of the propensity score. Biometrika. 2008;95(2):481–488.</w:t>
      </w:r>
    </w:p>
    <w:p>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