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for hidden effect modification in individual participant data meta-analysis: IONE (Incoherence-Oriented Neutralisation and Extraction) and a simulation benchmark of stratification approaches</w:t>
      </w:r>
    </w:p>
    <w:p>
      <w:pPr>
        <w:spacing w:line="480" w:lineRule="auto"/>
      </w:pPr>
      <w:r>
        <w:br w:type="page"/>
      </w:r>
    </w:p>
    <w:p>
      <w:pPr>
        <w:pStyle w:val="Heading1"/>
        <w:spacing w:line="480" w:lineRule="auto"/>
      </w:pPr>
      <w:r>
        <w:t>Abstract</w:t>
      </w:r>
    </w:p>
    <w:p>
      <w:pPr>
        <w:spacing w:line="480" w:lineRule="auto"/>
      </w:pPr>
      <w:r/>
      <w:r>
        <w:rPr>
          <w:b/>
        </w:rPr>
        <w:t>Background:</w:t>
      </w:r>
      <w:r>
        <w:t xml:space="preserve"> In individual participant data (IPD) meta-analysis, marginal effect estimates can be biased by hidden effect modifiers. We introduce coherence diagnostics C1 and W and evaluate them in a simulation benchmark of stratification approaches.</w:t>
      </w:r>
    </w:p>
    <w:p>
      <w:pPr>
        <w:spacing w:line="480" w:lineRule="auto"/>
      </w:pPr>
      <w:r/>
      <w:r>
        <w:rPr>
          <w:b/>
        </w:rPr>
        <w:t>Methods:</w:t>
      </w:r>
      <w:r>
        <w:t xml:space="preserve"> We simulated an IPD meta-analysis with 10 studies,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Relative bias reduction improved as the Z-to-Y effect strengthened, while sample-size gains were method-specific; W excess showed weak discrimination.</w:t>
      </w:r>
    </w:p>
    <w:p>
      <w:pPr>
        <w:spacing w:line="480" w:lineRule="auto"/>
      </w:pPr>
      <w:r/>
      <w:r>
        <w:rPr>
          <w:b/>
        </w:rPr>
        <w:t>Conclusions:</w:t>
      </w:r>
      <w:r>
        <w:t xml:space="preserve"> IONE is a descriptive sensitivity tool, not an inferential test for hidden effect modification. It should be reported alongside conventional meta-analytic models and covariate adjustment.</w:t>
      </w:r>
    </w:p>
    <w:p>
      <w:pPr>
        <w:spacing w:line="480" w:lineRule="auto"/>
      </w:pPr>
      <w:r/>
      <w:r>
        <w:rPr>
          <w:b/>
        </w:rPr>
        <w:t>Keywords:</w:t>
      </w:r>
      <w:r>
        <w:t xml:space="preserve"> individual participant data meta-analysis; evidence synthesis; heterogeneity; hidden effect modification; stratification; simulation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spacing w:line="480" w:lineRule="auto"/>
      </w:pPr>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constructed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1C_cv_decision</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spacing w:line="480" w:lineRule="auto"/>
      </w:pPr>
      <w:r>
        <w:t>CATE variance explained</w:t>
      </w:r>
    </w:p>
    <w:p>
      <w:pPr>
        <w:spacing w:line="480" w:lineRule="auto"/>
      </w:pPr>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Relevance to SMMR readers</w:t>
      </w:r>
    </w:p>
    <w:p>
      <w:pPr>
        <w:spacing w:line="480" w:lineRule="auto"/>
      </w:pPr>
      <w:r>
        <w:t xml:space="preserve">IONE sits between heterogeneity diagnostics and model-based effect modification in medical research. C1 re-purposes the </w:t>
      </w:r>
      <m:oMath>
        <m:sSup>
          <m:e>
            <m:r>
              <m:t xml:space="preserve">I</m:t>
            </m:r>
          </m:e>
          <m:sup>
            <m:r>
              <m:t xml:space="preserve">2</m:t>
            </m:r>
          </m:sup>
        </m:sSup>
      </m:oMath>
      <w:r>
        <w:t xml:space="preserve"> statistic for discovered strata and W connects a partition to explained CATE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IONE is best reported alongside conventional IPD meta-analysis and covariate adjustment, with standard adjustment applied within strata.</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smmr_supplementary_v1.docx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Simpson EH. The interpretation of interaction in contingency tables. J R Stat Soc Ser B. 1951;13(2):238–241.</w:t>
      </w:r>
    </w:p>
    <w:p>
      <w:pPr>
        <w:spacing w:line="480" w:lineRule="auto"/>
      </w:pPr>
      <w:r>
        <w:t>10. Rojanaworarit C. Misleading epidemiological and statistical evidence in the presence of Simpson's paradox: an illustrative study using simulated scenarios. J Med Life. 2020;13(1):37–44.</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pPr>
        <w:spacing w:line="480" w:lineRule="auto"/>
      </w:pPr>
      <w:r>
        <w:t>15. Appleton DR, French NR, Vanderpump MP. Ignoring a covariate: an example of Simpson's paradox. Am Stat. 1996;50(4):340–341.</w:t>
      </w:r>
    </w:p>
    <w:p>
      <w:pPr>
        <w:spacing w:line="480" w:lineRule="auto"/>
      </w:pPr>
      <w:r>
        <w:t>16. Morris TP, White IR, Crowther MJ. Using simulation studies to evaluate statistical methods. Stat Med. 2019;38(11):2074–2102.</w:t>
      </w:r>
    </w:p>
    <w:p>
      <w:pPr>
        <w:spacing w:line="480" w:lineRule="auto"/>
      </w:pPr>
      <w:r>
        <w:t>17. Rosenbaum PR, Rubin DB. The central role of the propensity score in observational studies for causal effects. Biometrika. 1983;70(1):41–55.</w:t>
      </w:r>
    </w:p>
    <w:p>
      <w:pPr>
        <w:spacing w:line="480" w:lineRule="auto"/>
      </w:pPr>
      <w:r>
        <w:t>18. McLachlan GJ, Peel D. Finite Mixture Models. New York: Wiley; 2000.</w:t>
      </w:r>
    </w:p>
    <w:p>
      <w:pPr>
        <w:spacing w:line="480" w:lineRule="auto"/>
      </w:pPr>
      <w:r>
        <w:t>19. Hansen BB. The prognostic analogue of the propensity score. Biometrika. 2008;95(2):481–488.</w:t>
      </w:r>
    </w:p>
    <w:p>
      <w:pPr>
        <w:spacing w:line="480" w:lineRule="auto"/>
      </w:pPr>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