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name and address]</w:t>
      </w:r>
    </w:p>
    <w:p>
      <w:r>
        <w:t>[Date]</w:t>
      </w:r>
    </w:p>
    <w:p/>
    <w:p>
      <w:r>
        <w:t>Professor [Editor-in-Chief name], Editor-in-Chief</w:t>
      </w:r>
    </w:p>
    <w:p>
      <w:r>
        <w:t>*Statistics in Medicine*</w:t>
      </w:r>
    </w:p>
    <w:p>
      <w:r>
        <w:t>Wiley</w:t>
      </w:r>
    </w:p>
    <w:p/>
    <w:p>
      <w:r>
        <w:t>Dear Professor [Name],</w:t>
      </w:r>
    </w:p>
    <w:p/>
    <w:p>
      <w:r>
        <w:t>Please consider our manuscript, **“A coherence diagnostic for hidden population structure in observational studies: a simulation study of stratification-based extraction”** (revised from *IONE: Incoherence-Oriented Neutralisation and Extraction for Detecting Hidden Population Structure in Observational Studies*), for publication in *Statistics in Medicine*.</w:t>
      </w:r>
    </w:p>
    <w:p/>
    <w:p>
      <w:r>
        <w:t>**Why Statistics in Medicine.**</w:t>
      </w:r>
    </w:p>
    <w:p>
      <w:r>
        <w:t>The paper presents a Monte Carlo simulation study that evaluates diagnostic indicators for hidden population structure (unmeasured effect modification and confounding) in observational data. It follows the ADEMP and STROBE-Sim reporting frameworks, benchmarks proposed methods against active comparators (propensity-score quintiles, Gaussian mixture models, prognostic scores), and systematically reports Monte Carlo standard errors. The scope—developing and validating statistical methodology for observational studies with heterogeneous treatment effects—fits directly within the aims of *Statistics in Medicine*.</w:t>
      </w:r>
    </w:p>
    <w:p/>
    <w:p>
      <w:r>
        <w:t>**What is new relative to the previous submission.**</w:t>
      </w:r>
    </w:p>
    <w:p>
      <w:r>
        <w:t>An earlier version of this work was reviewed by *BMC Medical Research Methodology* and ultimately rejected as “not addressable through revision.” We have used the reviewer feedback to restructure the manuscript fundamentally:</w:t>
      </w:r>
    </w:p>
    <w:p>
      <w:r>
        <w:t>- The framing is now that of an **exploratory diagnostic-sensitivity study**, not a mature two-stage workflow.</w:t>
      </w:r>
    </w:p>
    <w:p>
      <w:r>
        <w:t>- The binary treatment, confounding and effect-modification pathways are made explicit in the data-generating mechanism.</w:t>
      </w:r>
    </w:p>
    <w:p>
      <w:r>
        <w:t>- C1 is repositioned as an uncalibrated heterogeneity indicator with calibration curves; W is reported as both a simulation-only (true CATE) and an estimated operational diagnostic.</w:t>
      </w:r>
    </w:p>
    <w:p>
      <w:r>
        <w:t>- Bias reduction is reported with a consistent formula and reconciled values.</w:t>
      </w:r>
    </w:p>
    <w:p>
      <w:r>
        <w:t>- A discovery/evaluation split is implemented for all outcome-informed methods.</w:t>
      </w:r>
    </w:p>
    <w:p>
      <w:r>
        <w:t>- All semi-synthetic claims have been corrected and comparator terminology unified.</w:t>
      </w:r>
    </w:p>
    <w:p/>
    <w:p>
      <w:r>
        <w:t>**Originality.**</w:t>
      </w:r>
    </w:p>
    <w:p>
      <w:r>
        <w:t>The manuscript is original, has not been published elsewhere, and is not under simultaneous consideration by another journal. All authors have approved the submission.</w:t>
      </w:r>
    </w:p>
    <w:p/>
    <w:p>
      <w:r>
        <w:t>**Conflict of interest and funding.**</w:t>
      </w:r>
    </w:p>
    <w:p>
      <w:r>
        <w:t>The authors declare no competing interests. This research received no specific funding.</w:t>
      </w:r>
    </w:p>
    <w:p/>
    <w:p>
      <w:r>
        <w:t>**Data and code availability.**</w:t>
      </w:r>
    </w:p>
    <w:p>
      <w:r>
        <w:t>All simulation code and aggregated example data are available at a permanent repository; a tagged release and Zenodo DOI will be generated before acceptance. The supplementary materials include ADEMP and STROBE-Sim checklists and detailed algorithmic settings.</w:t>
      </w:r>
    </w:p>
    <w:p/>
    <w:p>
      <w:r>
        <w:t>We suggest the following experts as potential reviewers: [names and emails to be added].</w:t>
      </w:r>
    </w:p>
    <w:p/>
    <w:p>
      <w:r>
        <w:t>Thank you for considering our work.</w:t>
      </w:r>
    </w:p>
    <w:p/>
    <w:p>
      <w:r>
        <w:t>Sincerely,</w:t>
      </w:r>
    </w:p>
    <w:p/>
    <w:p>
      <w:r>
        <w:t>Onishi Tatsuki, PhD</w:t>
      </w:r>
    </w:p>
    <w:p>
      <w:r>
        <w:t>corresponding author</w:t>
      </w:r>
    </w:p>
    <w:p>
      <w:r>
        <w:t>Data Science AI Innovation Research Promotion Center, Shiga University</w:t>
      </w:r>
    </w:p>
    <w:p>
      <w:r>
        <w:t>1-1-1 Bamba, Hikone, Shiga 522-8522, Japan</w:t>
      </w:r>
    </w:p>
    <w:p>
      <w:r>
        <w:t>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