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jc w:val="left"/>
      </w:pPr>
      <w:r>
        <w:t>Coherence diagnostics for hidden effect modification in individual participant data meta-analysis: a simulation benchmark of stratification approaches</w:t>
      </w:r>
    </w:p>
    <w:p>
      <w:pPr>
        <w:spacing w:line="480" w:lineRule="auto"/>
      </w:pPr>
      <w:r>
        <w:br w:type="page"/>
      </w:r>
    </w:p>
    <w:p>
      <w:pPr>
        <w:pStyle w:val="Heading1"/>
        <w:spacing w:line="480" w:lineRule="auto"/>
      </w:pPr>
      <w:r>
        <w:t>Abstract</w:t>
      </w:r>
    </w:p>
    <w:p>
      <w:pPr>
        <w:spacing w:line="480" w:lineRule="auto"/>
      </w:pPr>
      <w:r/>
      <w:r>
        <w:rPr>
          <w:b/>
        </w:rPr>
        <w:t>Background:</w:t>
      </w:r>
      <w:r>
        <w:t xml:space="preserve"> In individual participant data (IPD) meta-analysis, marginal effect estimates can be biased by hidden effect modifiers. We introduce coherence diagnostics C1 and W and evaluate them in a simulation benchmark of stratification approaches.</w:t>
      </w:r>
    </w:p>
    <w:p>
      <w:pPr>
        <w:spacing w:line="480" w:lineRule="auto"/>
      </w:pPr>
      <w:r/>
      <w:r>
        <w:rPr>
          <w:b/>
        </w:rPr>
        <w:t>Methods:</w:t>
      </w:r>
      <w:r>
        <w:t xml:space="preserve"> We simulated an IPD meta-analysis with 10 studies, binary treatment and outcome, measured covariates carrying traces of an unmeasured modifier, and study-level variation in baseline risk and treatment prevalence. Methods stratified pooled IPD and synthesised stratum-specific risk differences with fixed-effect and DerSimonian-Laird random-effects meta-analysis. We report ARI, C1, W and ATE bias reduction, calibrating C1 and W against empirical null distributions.</w:t>
      </w:r>
    </w:p>
    <w:p>
      <w:pPr>
        <w:spacing w:line="480" w:lineRule="auto"/>
      </w:pPr>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TPR up to 0.060 at 5% FPR). The best method reduced random-effects ATE bias by more than half (from 0.01865 to 0.00816; relative reduction 0.563). Relative bias reduction improved as the Z-to-Y effect strengthened, while sample-size gains were method-specific; W excess showed weak discrimination.</w:t>
      </w:r>
    </w:p>
    <w:p>
      <w:pPr>
        <w:spacing w:line="480" w:lineRule="auto"/>
      </w:pPr>
      <w:r/>
      <w:r>
        <w:rPr>
          <w:b/>
        </w:rPr>
        <w:t>Conclusions:</w:t>
      </w:r>
      <w:r>
        <w:t xml:space="preserve"> IONE is a descriptive sensitivity tool, not an inferential test for hidden effect modification. It should be reported alongside conventional meta-analytic models and covariate adjustment.</w:t>
      </w:r>
    </w:p>
    <w:p>
      <w:pPr>
        <w:spacing w:line="480" w:lineRule="auto"/>
      </w:pPr>
      <w:r/>
      <w:r>
        <w:rPr>
          <w:b/>
        </w:rPr>
        <w:t>Keywords:</w:t>
      </w:r>
      <w:r>
        <w:t xml:space="preserve"> individual participant data meta-analysis; evidence synthesis; heterogeneity; hidden effect modification; stratification; simulation</w:t>
      </w:r>
    </w:p>
    <w:p>
      <w:pPr>
        <w:spacing w:line="480" w:lineRule="auto"/>
      </w:pPr>
      <w:r>
        <w:br w:type="page"/>
      </w:r>
    </w:p>
    <w:p>
      <w:pPr>
        <w:pStyle w:val="Heading1"/>
        <w:spacing w:line="480" w:lineRule="auto"/>
      </w:pPr>
      <w:r>
        <w:t>1. Introduction</w:t>
      </w:r>
    </w:p>
    <w:p>
      <w:pPr>
        <w:spacing w:line="480" w:lineRule="auto"/>
      </w:pPr>
      <w:r>
        <w:t xml:space="preserve">Meta-analysis pools treatment-effect estimates across studies and is central to evidence-based medicine </w:t>
      </w:r>
      <w:r>
        <w:rPr>
          <w:vertAlign w:val="superscript"/>
        </w:rPr>
        <w:t>1</w:t>
      </w:r>
      <w:r>
        <w:t xml:space="preserve">. Individual participant data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pPr>
        <w:spacing w:line="480" w:lineRule="auto"/>
      </w:pPr>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goal is not to recover hidden variables but to reduce misleading marginal summaries when the IPD contains hidden effect modification.</w:t>
      </w:r>
    </w:p>
    <w:p>
      <w:pPr>
        <w:spacing w:line="480" w:lineRule="auto"/>
      </w:pPr>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conditional average treatment effect (CATE) variance explained by the stratification. Stratum-specific risk differences are synthesised with fixed-effect or DerSimonian-Laird random-effects meta-analysis. C1 measures the coherence of a stratification after it has been formed; W is a ratio whose denominator is the overall CATE variance and is therefore unstable when the modification signal is weak.</w:t>
      </w:r>
    </w:p>
    <w:p>
      <w:pPr>
        <w:pStyle w:val="Heading1"/>
        <w:spacing w:line="480" w:lineRule="auto"/>
      </w:pPr>
      <w:r>
        <w:t>2. Methods</w:t>
      </w:r>
    </w:p>
    <w:p>
      <w:pPr>
        <w:spacing w:line="480" w:lineRule="auto"/>
      </w:pPr>
      <w:r>
        <w:t xml:space="preserve">This simulation study follows the ADEMP framework </w:t>
      </w:r>
      <w:r>
        <w:rPr>
          <w:vertAlign w:val="superscript"/>
        </w:rPr>
        <w:t>16</w:t>
      </w:r>
      <w:r>
        <w:t>.</w:t>
      </w:r>
    </w:p>
    <w:p>
      <w:pPr>
        <w:pStyle w:val="Heading2"/>
        <w:spacing w:line="480" w:lineRule="auto"/>
      </w:pPr>
      <w:r>
        <w:t>Aims</w:t>
      </w:r>
    </w:p>
    <w:p>
      <w:pPr>
        <w:spacing w:line="480" w:lineRule="auto"/>
      </w:pPr>
      <w:r>
        <w:t>Quantify average treatment effect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spacing w:line="480" w:lineRule="auto"/>
      </w:pPr>
      <w:r>
        <w:t>IPD data-generating mechanism</w:t>
      </w:r>
    </w:p>
    <w:p>
      <w:pPr>
        <w:spacing w:line="480" w:lineRule="auto"/>
      </w:pPr>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pPr>
        <w:spacing w:line="480" w:lineRule="auto"/>
      </w:pPr>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spacing w:line="480" w:lineRule="auto"/>
      </w:pPr>
      <w:r>
        <w:t>Stratification methods</w:t>
      </w:r>
    </w:p>
    <w:p>
      <w:pPr>
        <w:spacing w:line="480" w:lineRule="auto"/>
      </w:pPr>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pPr>
        <w:spacing w:line="480" w:lineRule="auto"/>
      </w:pPr>
      <w:r/>
      <w:r>
        <w:rPr>
          <w:b/>
        </w:rPr>
        <w:t>Proposed Family 2 (outcome-free).</w:t>
      </w:r>
      <w:r>
        <w:t xml:space="preserve"> Method 2A: first principal component of standardised X. Method 2B: K-means on standardised X.</w:t>
      </w:r>
    </w:p>
    <w:p>
      <w:pPr>
        <w:spacing w:line="480" w:lineRule="auto"/>
      </w:pPr>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spacing w:line="480" w:lineRule="auto"/>
      </w:pPr>
      <w:r>
        <w:t>Synthesis of stratum-specific effects</w:t>
      </w:r>
    </w:p>
    <w:p>
      <w:pPr>
        <w:spacing w:line="480" w:lineRule="auto"/>
      </w:pPr>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pPr>
        <w:spacing w:line="480" w:lineRule="auto"/>
      </w:pPr>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spacing w:line="480" w:lineRule="auto"/>
      </w:pPr>
      <w:r>
        <w:t>Study-level meta-analysis benchmark</w:t>
      </w:r>
    </w:p>
    <w:p>
      <w:pPr>
        <w:spacing w:line="480" w:lineRule="auto"/>
      </w:pPr>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spacing w:line="480" w:lineRule="auto"/>
      </w:pPr>
      <w:r>
        <w:t>Evaluation metrics</w:t>
      </w:r>
    </w:p>
    <w:p>
      <w:pPr>
        <w:spacing w:line="480" w:lineRule="auto"/>
      </w:pPr>
      <w:r/>
      <w:r>
        <w:rPr>
          <w:b/>
        </w:rPr>
        <w:t>ARI</w:t>
      </w:r>
      <w:r>
        <w:t xml:space="preserve"> </w:t>
      </w:r>
      <w:r>
        <w:rPr>
          <w:vertAlign w:val="superscript"/>
        </w:rPr>
        <w:t>20</w:t>
      </w:r>
      <w:r>
        <w:t>: agreement between estimated strata and a constructed true-Z reference partition, corrected for chance. The true-Z partition is a k-means clustering of standardised Z-space with K strata, so ARI measures agreement with an operational reference rather than clinical validity.</w:t>
      </w:r>
    </w:p>
    <w:p>
      <w:pPr>
        <w:spacing w:line="480" w:lineRule="auto"/>
      </w:pPr>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pPr>
        <w:spacing w:line="480" w:lineRule="auto"/>
      </w:pPr>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conditional average treatment effect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null-mean-centred excess values: C1_excess = max(null mean C1 - C1, 0), W_excess = max(W - null mean W, 0) and proportion metrics such as eta^2 = between-stratum CATE variance / overall CATE variance as an alternative scale-free summary.</w:t>
      </w:r>
    </w:p>
    <w:p>
      <w:pPr>
        <w:spacing w:line="480" w:lineRule="auto"/>
      </w:pPr>
      <w:r/>
      <w:r>
        <w:rPr>
          <w:b/>
        </w:rPr>
        <w:t>ATE bias reduction:</w:t>
      </w:r>
      <w:r>
        <w:t xml:space="preserve"> absolute differences between crude, stratified and random-effects estimates, plus relative ratios. Monte Carlo SE and 95% CI accompany every mean.</w:t>
      </w:r>
    </w:p>
    <w:p>
      <w:pPr>
        <w:pStyle w:val="Heading2"/>
        <w:spacing w:line="480" w:lineRule="auto"/>
      </w:pPr>
      <w:r>
        <w:t>Empirical null distribution and null-centred reporting</w:t>
      </w:r>
    </w:p>
    <w:p>
      <w:pPr>
        <w:spacing w:line="480" w:lineRule="auto"/>
      </w:pPr>
      <w:r>
        <w:t xml:space="preserve">We ran 200 additional replications under the primary data-generating mechanism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the Supplementary Material.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spacing w:line="480" w:lineRule="auto"/>
      </w:pPr>
      <m:oMath>
        <m:sSub>
          <m:e>
            <m:r>
              <m:t xml:space="preserve">W</m:t>
            </m:r>
          </m:e>
          <m:sub>
            <m:r>
              <m:t xml:space="preserve">est</m:t>
            </m:r>
          </m:sub>
        </m:sSub>
      </m:oMath>
      <w:r>
        <w:t xml:space="preserve"> outcome-model misspecification sensitivity</w:t>
      </w:r>
    </w:p>
    <w:p>
      <w:pPr>
        <w:spacing w:line="480" w:lineRule="auto"/>
      </w:pPr>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reported in the Supplementary Material.</w:t>
      </w:r>
    </w:p>
    <w:p>
      <w:pPr>
        <w:pStyle w:val="Heading2"/>
        <w:spacing w:line="480" w:lineRule="auto"/>
      </w:pPr>
      <w:r>
        <w:t>Diagnostic calibration using the empirical null</w:t>
      </w:r>
    </w:p>
    <w:p>
      <w:pPr>
        <w:spacing w:line="480" w:lineRule="auto"/>
      </w:pPr>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spacing w:line="480" w:lineRule="auto"/>
      </w:pPr>
      <w:r>
        <w:t>True-CATE-quantile oracle reference</w:t>
      </w:r>
    </w:p>
    <w:p>
      <w:pPr>
        <w:spacing w:line="480" w:lineRule="auto"/>
      </w:pPr>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spacing w:line="480" w:lineRule="auto"/>
      </w:pPr>
      <w:r>
        <w:t>Semi-synthetic illustrations</w:t>
      </w:r>
    </w:p>
    <w:p>
      <w:pPr>
        <w:spacing w:line="480" w:lineRule="auto"/>
      </w:pPr>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age-vaccination stratification table in the source publication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spacing w:line="480" w:lineRule="auto"/>
      </w:pPr>
      <w:r>
        <w:t>Reporting and reproducibility</w:t>
      </w:r>
    </w:p>
    <w:p>
      <w:pPr>
        <w:spacing w:line="480" w:lineRule="auto"/>
      </w:pPr>
      <w:r>
        <w:t xml:space="preserve">The design followed ADEMP </w:t>
      </w:r>
      <w:r>
        <w:rPr>
          <w:vertAlign w:val="superscript"/>
        </w:rPr>
        <w:t>16</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spacing w:line="480" w:lineRule="auto"/>
      </w:pPr>
      <w:r>
        <w:t>3. Results</w:t>
      </w:r>
    </w:p>
    <w:p>
      <w:pPr>
        <w:pStyle w:val="Heading2"/>
        <w:spacing w:line="480" w:lineRule="auto"/>
      </w:pPr>
      <w:r>
        <w:t>Primary IPD scenario</w:t>
      </w:r>
    </w:p>
    <w:p>
      <w:pPr>
        <w:spacing w:line="480" w:lineRule="auto"/>
      </w:pPr>
      <w:r>
        <w:t xml:space="preserve">Table 1 reports the primary scenario (n=2000, 10 studies, K=5). Agreement with the constructed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indicating that stratum-specific effects should be allowed to vary. Null-centred excess diagnostics for the best method were modest (C1_excess 0.054; </w:t>
      </w:r>
      <m:oMath>
        <m:sSub>
          <m:e>
            <m:r>
              <m:t xml:space="preserve">W</m:t>
            </m:r>
          </m:e>
          <m:sub>
            <m:r>
              <m:t xml:space="preserve">est</m:t>
            </m:r>
          </m:sub>
        </m:sSub>
      </m:oMath>
      <w:r>
        <w:t xml:space="preserve">_excess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76" w:lineRule="auto"/>
            </w:pPr>
            <w:r>
              <w:rPr>
                <w:b/>
              </w:rPr>
              <w:t>Method</w:t>
            </w:r>
          </w:p>
        </w:tc>
        <w:tc>
          <w:tcPr>
            <w:tcW w:type="dxa" w:w="785"/>
          </w:tcPr>
          <w:p>
            <w:pPr>
              <w:spacing w:line="276" w:lineRule="auto"/>
            </w:pPr>
            <w:r>
              <w:rPr>
                <w:b/>
              </w:rPr>
              <w:t>ARI</w:t>
            </w:r>
          </w:p>
        </w:tc>
        <w:tc>
          <w:tcPr>
            <w:tcW w:type="dxa" w:w="785"/>
          </w:tcPr>
          <w:p>
            <w:pPr>
              <w:spacing w:line="276" w:lineRule="auto"/>
            </w:pPr>
            <w:r>
              <w:rPr>
                <w:b/>
              </w:rPr>
              <w:t>C1</w:t>
            </w:r>
          </w:p>
        </w:tc>
        <w:tc>
          <w:tcPr>
            <w:tcW w:type="dxa" w:w="785"/>
          </w:tcPr>
          <w:p>
            <w:pPr>
              <w:spacing w:line="276" w:lineRule="auto"/>
            </w:pPr>
            <m:oMath>
              <m:sSub>
                <m:e>
                  <m:r>
                    <m:t xml:space="preserve">W</m:t>
                  </m:r>
                </m:e>
                <m:sub>
                  <m:r>
                    <m:t xml:space="preserve">true</m:t>
                  </m:r>
                </m:sub>
              </m:sSub>
            </m:oMath>
          </w:p>
        </w:tc>
        <w:tc>
          <w:tcPr>
            <w:tcW w:type="dxa" w:w="785"/>
          </w:tcPr>
          <w:p>
            <w:pPr>
              <w:spacing w:line="276" w:lineRule="auto"/>
            </w:pPr>
            <m:oMath>
              <m:sSub>
                <m:e>
                  <m:r>
                    <m:t xml:space="preserve">W</m:t>
                  </m:r>
                </m:e>
                <m:sub>
                  <m:r>
                    <m:t xml:space="preserve">est</m:t>
                  </m:r>
                </m:sub>
              </m:sSub>
            </m:oMath>
          </w:p>
        </w:tc>
        <w:tc>
          <w:tcPr>
            <w:tcW w:type="dxa" w:w="785"/>
          </w:tcPr>
          <w:p>
            <w:pPr>
              <w:spacing w:line="276" w:lineRule="auto"/>
            </w:pPr>
            <w:r>
              <w:rPr>
                <w:b/>
              </w:rPr>
              <w:t>Crude bias</w:t>
            </w:r>
          </w:p>
        </w:tc>
        <w:tc>
          <w:tcPr>
            <w:tcW w:type="dxa" w:w="785"/>
          </w:tcPr>
          <w:p>
            <w:pPr>
              <w:spacing w:line="276" w:lineRule="auto"/>
            </w:pPr>
            <w:r>
              <w:rPr>
                <w:b/>
              </w:rPr>
              <w:t>Stratified bias</w:t>
            </w:r>
          </w:p>
        </w:tc>
        <w:tc>
          <w:tcPr>
            <w:tcW w:type="dxa" w:w="785"/>
          </w:tcPr>
          <w:p>
            <w:pPr>
              <w:spacing w:line="276" w:lineRule="auto"/>
            </w:pPr>
            <w:r>
              <w:rPr>
                <w:b/>
              </w:rPr>
              <w:t>RE bias</w:t>
            </w:r>
          </w:p>
        </w:tc>
        <w:tc>
          <w:tcPr>
            <w:tcW w:type="dxa" w:w="785"/>
          </w:tcPr>
          <w:p>
            <w:pPr>
              <w:spacing w:line="276" w:lineRule="auto"/>
            </w:pPr>
            <w:r>
              <w:rPr>
                <w:b/>
              </w:rPr>
              <w:t>Rel reduction strat</w:t>
            </w:r>
          </w:p>
        </w:tc>
        <w:tc>
          <w:tcPr>
            <w:tcW w:type="dxa" w:w="785"/>
          </w:tcPr>
          <w:p>
            <w:pPr>
              <w:spacing w:line="276" w:lineRule="auto"/>
            </w:pPr>
            <w:r>
              <w:rPr>
                <w:b/>
              </w:rPr>
              <w:t>Rel reduction RE</w:t>
            </w:r>
          </w:p>
        </w:tc>
        <w:tc>
          <w:tcPr>
            <w:tcW w:type="dxa" w:w="785"/>
          </w:tcPr>
          <w:p>
            <w:pPr>
              <w:spacing w:line="276" w:lineRule="auto"/>
            </w:pPr>
            <w:r>
              <w:rPr>
                <w:b/>
              </w:rPr>
              <w:t>RE I2</w:t>
            </w:r>
          </w:p>
        </w:tc>
      </w:tr>
      <w:tr>
        <w:tc>
          <w:tcPr>
            <w:tcW w:type="dxa" w:w="785"/>
          </w:tcPr>
          <w:p>
            <w:pPr>
              <w:spacing w:line="276" w:lineRule="auto"/>
            </w:pPr>
            <w:r>
              <w:t>1A_predicted_prob</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1B_residual</w:t>
            </w:r>
          </w:p>
        </w:tc>
        <w:tc>
          <w:tcPr>
            <w:tcW w:type="dxa" w:w="785"/>
          </w:tcPr>
          <w:p>
            <w:pPr>
              <w:spacing w:line="276" w:lineRule="auto"/>
            </w:pPr>
            <w:r>
              <w:t>0.032</w:t>
            </w:r>
          </w:p>
        </w:tc>
        <w:tc>
          <w:tcPr>
            <w:tcW w:type="dxa" w:w="785"/>
          </w:tcPr>
          <w:p>
            <w:pPr>
              <w:spacing w:line="276" w:lineRule="auto"/>
            </w:pPr>
            <w:r>
              <w:t>0.927</w:t>
            </w:r>
          </w:p>
        </w:tc>
        <w:tc>
          <w:tcPr>
            <w:tcW w:type="dxa" w:w="785"/>
          </w:tcPr>
          <w:p>
            <w:pPr>
              <w:spacing w:line="276" w:lineRule="auto"/>
            </w:pPr>
            <w:r>
              <w:t>0.363</w:t>
            </w:r>
          </w:p>
        </w:tc>
        <w:tc>
          <w:tcPr>
            <w:tcW w:type="dxa" w:w="785"/>
          </w:tcPr>
          <w:p>
            <w:pPr>
              <w:spacing w:line="276" w:lineRule="auto"/>
            </w:pPr>
            <w:r>
              <w:t>0.078</w:t>
            </w:r>
          </w:p>
        </w:tc>
        <w:tc>
          <w:tcPr>
            <w:tcW w:type="dxa" w:w="785"/>
          </w:tcPr>
          <w:p>
            <w:pPr>
              <w:spacing w:line="276" w:lineRule="auto"/>
            </w:pPr>
            <w:r>
              <w:t>0.01865</w:t>
            </w:r>
          </w:p>
        </w:tc>
        <w:tc>
          <w:tcPr>
            <w:tcW w:type="dxa" w:w="785"/>
          </w:tcPr>
          <w:p>
            <w:pPr>
              <w:spacing w:line="276" w:lineRule="auto"/>
            </w:pPr>
            <w:r>
              <w:t>0.01345</w:t>
            </w:r>
          </w:p>
        </w:tc>
        <w:tc>
          <w:tcPr>
            <w:tcW w:type="dxa" w:w="785"/>
          </w:tcPr>
          <w:p>
            <w:pPr>
              <w:spacing w:line="276" w:lineRule="auto"/>
            </w:pPr>
            <w:r>
              <w:t>0.00816</w:t>
            </w:r>
          </w:p>
        </w:tc>
        <w:tc>
          <w:tcPr>
            <w:tcW w:type="dxa" w:w="785"/>
          </w:tcPr>
          <w:p>
            <w:pPr>
              <w:spacing w:line="276" w:lineRule="auto"/>
            </w:pPr>
            <w:r>
              <w:t>0.279</w:t>
            </w:r>
          </w:p>
        </w:tc>
        <w:tc>
          <w:tcPr>
            <w:tcW w:type="dxa" w:w="785"/>
          </w:tcPr>
          <w:p>
            <w:pPr>
              <w:spacing w:line="276" w:lineRule="auto"/>
            </w:pPr>
            <w:r>
              <w:t>0.563</w:t>
            </w:r>
          </w:p>
        </w:tc>
        <w:tc>
          <w:tcPr>
            <w:tcW w:type="dxa" w:w="785"/>
          </w:tcPr>
          <w:p>
            <w:pPr>
              <w:spacing w:line="276" w:lineRule="auto"/>
            </w:pPr>
            <w:r>
              <w:t>0.044</w:t>
            </w:r>
          </w:p>
        </w:tc>
      </w:tr>
      <w:tr>
        <w:tc>
          <w:tcPr>
            <w:tcW w:type="dxa" w:w="785"/>
          </w:tcPr>
          <w:p>
            <w:pPr>
              <w:spacing w:line="276" w:lineRule="auto"/>
            </w:pPr>
            <w:r>
              <w:t>1C_cv_decision</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2A_PCA_cum60</w:t>
            </w:r>
          </w:p>
        </w:tc>
        <w:tc>
          <w:tcPr>
            <w:tcW w:type="dxa" w:w="785"/>
          </w:tcPr>
          <w:p>
            <w:pPr>
              <w:spacing w:line="276" w:lineRule="auto"/>
            </w:pPr>
            <w:r>
              <w:t>0.016</w:t>
            </w:r>
          </w:p>
        </w:tc>
        <w:tc>
          <w:tcPr>
            <w:tcW w:type="dxa" w:w="785"/>
          </w:tcPr>
          <w:p>
            <w:pPr>
              <w:spacing w:line="276" w:lineRule="auto"/>
            </w:pPr>
            <w:r>
              <w:t>0.881</w:t>
            </w:r>
          </w:p>
        </w:tc>
        <w:tc>
          <w:tcPr>
            <w:tcW w:type="dxa" w:w="785"/>
          </w:tcPr>
          <w:p>
            <w:pPr>
              <w:spacing w:line="276" w:lineRule="auto"/>
            </w:pPr>
            <w:r>
              <w:t>0.158</w:t>
            </w:r>
          </w:p>
        </w:tc>
        <w:tc>
          <w:tcPr>
            <w:tcW w:type="dxa" w:w="785"/>
          </w:tcPr>
          <w:p>
            <w:pPr>
              <w:spacing w:line="276" w:lineRule="auto"/>
            </w:pPr>
            <w:r>
              <w:t>0.080</w:t>
            </w:r>
          </w:p>
        </w:tc>
        <w:tc>
          <w:tcPr>
            <w:tcW w:type="dxa" w:w="785"/>
          </w:tcPr>
          <w:p>
            <w:pPr>
              <w:spacing w:line="276" w:lineRule="auto"/>
            </w:pPr>
            <w:r>
              <w:t>0.01865</w:t>
            </w:r>
          </w:p>
        </w:tc>
        <w:tc>
          <w:tcPr>
            <w:tcW w:type="dxa" w:w="785"/>
          </w:tcPr>
          <w:p>
            <w:pPr>
              <w:spacing w:line="276" w:lineRule="auto"/>
            </w:pPr>
            <w:r>
              <w:t>0.01883</w:t>
            </w:r>
          </w:p>
        </w:tc>
        <w:tc>
          <w:tcPr>
            <w:tcW w:type="dxa" w:w="785"/>
          </w:tcPr>
          <w:p>
            <w:pPr>
              <w:spacing w:line="276" w:lineRule="auto"/>
            </w:pPr>
            <w:r>
              <w:t>0.01769</w:t>
            </w:r>
          </w:p>
        </w:tc>
        <w:tc>
          <w:tcPr>
            <w:tcW w:type="dxa" w:w="785"/>
          </w:tcPr>
          <w:p>
            <w:pPr>
              <w:spacing w:line="276" w:lineRule="auto"/>
            </w:pPr>
            <w:r>
              <w:t>-0.010</w:t>
            </w:r>
          </w:p>
        </w:tc>
        <w:tc>
          <w:tcPr>
            <w:tcW w:type="dxa" w:w="785"/>
          </w:tcPr>
          <w:p>
            <w:pPr>
              <w:spacing w:line="276" w:lineRule="auto"/>
            </w:pPr>
            <w:r>
              <w:t>0.051</w:t>
            </w:r>
          </w:p>
        </w:tc>
        <w:tc>
          <w:tcPr>
            <w:tcW w:type="dxa" w:w="785"/>
          </w:tcPr>
          <w:p>
            <w:pPr>
              <w:spacing w:line="276" w:lineRule="auto"/>
            </w:pPr>
            <w:r>
              <w:t>0.130</w:t>
            </w:r>
          </w:p>
        </w:tc>
      </w:tr>
      <w:tr>
        <w:tc>
          <w:tcPr>
            <w:tcW w:type="dxa" w:w="785"/>
          </w:tcPr>
          <w:p>
            <w:pPr>
              <w:spacing w:line="276" w:lineRule="auto"/>
            </w:pPr>
            <w:r>
              <w:t>2B_clustering</w:t>
            </w:r>
          </w:p>
        </w:tc>
        <w:tc>
          <w:tcPr>
            <w:tcW w:type="dxa" w:w="785"/>
          </w:tcPr>
          <w:p>
            <w:pPr>
              <w:spacing w:line="276" w:lineRule="auto"/>
            </w:pPr>
            <w:r>
              <w:t>0.023</w:t>
            </w:r>
          </w:p>
        </w:tc>
        <w:tc>
          <w:tcPr>
            <w:tcW w:type="dxa" w:w="785"/>
          </w:tcPr>
          <w:p>
            <w:pPr>
              <w:spacing w:line="276" w:lineRule="auto"/>
            </w:pPr>
            <w:r>
              <w:t>0.865</w:t>
            </w:r>
          </w:p>
        </w:tc>
        <w:tc>
          <w:tcPr>
            <w:tcW w:type="dxa" w:w="785"/>
          </w:tcPr>
          <w:p>
            <w:pPr>
              <w:spacing w:line="276" w:lineRule="auto"/>
            </w:pPr>
            <w:r>
              <w:t>0.210</w:t>
            </w:r>
          </w:p>
        </w:tc>
        <w:tc>
          <w:tcPr>
            <w:tcW w:type="dxa" w:w="785"/>
          </w:tcPr>
          <w:p>
            <w:pPr>
              <w:spacing w:line="276" w:lineRule="auto"/>
            </w:pPr>
            <w:r>
              <w:t>0.143</w:t>
            </w:r>
          </w:p>
        </w:tc>
        <w:tc>
          <w:tcPr>
            <w:tcW w:type="dxa" w:w="785"/>
          </w:tcPr>
          <w:p>
            <w:pPr>
              <w:spacing w:line="276" w:lineRule="auto"/>
            </w:pPr>
            <w:r>
              <w:t>0.01865</w:t>
            </w:r>
          </w:p>
        </w:tc>
        <w:tc>
          <w:tcPr>
            <w:tcW w:type="dxa" w:w="785"/>
          </w:tcPr>
          <w:p>
            <w:pPr>
              <w:spacing w:line="276" w:lineRule="auto"/>
            </w:pPr>
            <w:r>
              <w:t>0.01796</w:t>
            </w:r>
          </w:p>
        </w:tc>
        <w:tc>
          <w:tcPr>
            <w:tcW w:type="dxa" w:w="785"/>
          </w:tcPr>
          <w:p>
            <w:pPr>
              <w:spacing w:line="276" w:lineRule="auto"/>
            </w:pPr>
            <w:r>
              <w:t>0.01651</w:t>
            </w:r>
          </w:p>
        </w:tc>
        <w:tc>
          <w:tcPr>
            <w:tcW w:type="dxa" w:w="785"/>
          </w:tcPr>
          <w:p>
            <w:pPr>
              <w:spacing w:line="276" w:lineRule="auto"/>
            </w:pPr>
            <w:r>
              <w:t>0.037</w:t>
            </w:r>
          </w:p>
        </w:tc>
        <w:tc>
          <w:tcPr>
            <w:tcW w:type="dxa" w:w="785"/>
          </w:tcPr>
          <w:p>
            <w:pPr>
              <w:spacing w:line="276" w:lineRule="auto"/>
            </w:pPr>
            <w:r>
              <w:t>0.115</w:t>
            </w:r>
          </w:p>
        </w:tc>
        <w:tc>
          <w:tcPr>
            <w:tcW w:type="dxa" w:w="785"/>
          </w:tcPr>
          <w:p>
            <w:pPr>
              <w:spacing w:line="276" w:lineRule="auto"/>
            </w:pPr>
            <w:r>
              <w:t>0.146</w:t>
            </w:r>
          </w:p>
        </w:tc>
      </w:tr>
      <w:tr>
        <w:tc>
          <w:tcPr>
            <w:tcW w:type="dxa" w:w="785"/>
          </w:tcPr>
          <w:p>
            <w:pPr>
              <w:spacing w:line="276" w:lineRule="auto"/>
            </w:pPr>
            <w:r>
              <w:t>GMM</w:t>
            </w:r>
          </w:p>
        </w:tc>
        <w:tc>
          <w:tcPr>
            <w:tcW w:type="dxa" w:w="785"/>
          </w:tcPr>
          <w:p>
            <w:pPr>
              <w:spacing w:line="276" w:lineRule="auto"/>
            </w:pPr>
            <w:r>
              <w:t>0.005</w:t>
            </w:r>
          </w:p>
        </w:tc>
        <w:tc>
          <w:tcPr>
            <w:tcW w:type="dxa" w:w="785"/>
          </w:tcPr>
          <w:p>
            <w:pPr>
              <w:spacing w:line="276" w:lineRule="auto"/>
            </w:pPr>
            <w:r>
              <w:t>0.895</w:t>
            </w:r>
          </w:p>
        </w:tc>
        <w:tc>
          <w:tcPr>
            <w:tcW w:type="dxa" w:w="785"/>
          </w:tcPr>
          <w:p>
            <w:pPr>
              <w:spacing w:line="276" w:lineRule="auto"/>
            </w:pPr>
            <w:r>
              <w:t>0.050</w:t>
            </w:r>
          </w:p>
        </w:tc>
        <w:tc>
          <w:tcPr>
            <w:tcW w:type="dxa" w:w="785"/>
          </w:tcPr>
          <w:p>
            <w:pPr>
              <w:spacing w:line="276" w:lineRule="auto"/>
            </w:pPr>
            <w:r>
              <w:t>0.096</w:t>
            </w:r>
          </w:p>
        </w:tc>
        <w:tc>
          <w:tcPr>
            <w:tcW w:type="dxa" w:w="785"/>
          </w:tcPr>
          <w:p>
            <w:pPr>
              <w:spacing w:line="276" w:lineRule="auto"/>
            </w:pPr>
            <w:r>
              <w:t>0.01865</w:t>
            </w:r>
          </w:p>
        </w:tc>
        <w:tc>
          <w:tcPr>
            <w:tcW w:type="dxa" w:w="785"/>
          </w:tcPr>
          <w:p>
            <w:pPr>
              <w:spacing w:line="276" w:lineRule="auto"/>
            </w:pPr>
            <w:r>
              <w:t>0.01797</w:t>
            </w:r>
          </w:p>
        </w:tc>
        <w:tc>
          <w:tcPr>
            <w:tcW w:type="dxa" w:w="785"/>
          </w:tcPr>
          <w:p>
            <w:pPr>
              <w:spacing w:line="276" w:lineRule="auto"/>
            </w:pPr>
            <w:r>
              <w:t>0.01686</w:t>
            </w:r>
          </w:p>
        </w:tc>
        <w:tc>
          <w:tcPr>
            <w:tcW w:type="dxa" w:w="785"/>
          </w:tcPr>
          <w:p>
            <w:pPr>
              <w:spacing w:line="276" w:lineRule="auto"/>
            </w:pPr>
            <w:r>
              <w:t>0.036</w:t>
            </w:r>
          </w:p>
        </w:tc>
        <w:tc>
          <w:tcPr>
            <w:tcW w:type="dxa" w:w="785"/>
          </w:tcPr>
          <w:p>
            <w:pPr>
              <w:spacing w:line="276" w:lineRule="auto"/>
            </w:pPr>
            <w:r>
              <w:t>0.096</w:t>
            </w:r>
          </w:p>
        </w:tc>
        <w:tc>
          <w:tcPr>
            <w:tcW w:type="dxa" w:w="785"/>
          </w:tcPr>
          <w:p>
            <w:pPr>
              <w:spacing w:line="276" w:lineRule="auto"/>
            </w:pPr>
            <w:r>
              <w:t>0.127</w:t>
            </w:r>
          </w:p>
        </w:tc>
      </w:tr>
      <w:tr>
        <w:tc>
          <w:tcPr>
            <w:tcW w:type="dxa" w:w="785"/>
          </w:tcPr>
          <w:p>
            <w:pPr>
              <w:spacing w:line="276" w:lineRule="auto"/>
            </w:pPr>
            <w:r>
              <w:t>PS_propensity_score</w:t>
            </w:r>
          </w:p>
        </w:tc>
        <w:tc>
          <w:tcPr>
            <w:tcW w:type="dxa" w:w="785"/>
          </w:tcPr>
          <w:p>
            <w:pPr>
              <w:spacing w:line="276" w:lineRule="auto"/>
            </w:pPr>
            <w:r>
              <w:t>0.005</w:t>
            </w:r>
          </w:p>
        </w:tc>
        <w:tc>
          <w:tcPr>
            <w:tcW w:type="dxa" w:w="785"/>
          </w:tcPr>
          <w:p>
            <w:pPr>
              <w:spacing w:line="276" w:lineRule="auto"/>
            </w:pPr>
            <w:r>
              <w:t>0.881</w:t>
            </w:r>
          </w:p>
        </w:tc>
        <w:tc>
          <w:tcPr>
            <w:tcW w:type="dxa" w:w="785"/>
          </w:tcPr>
          <w:p>
            <w:pPr>
              <w:spacing w:line="276" w:lineRule="auto"/>
            </w:pPr>
            <w:r>
              <w:t>0.050</w:t>
            </w:r>
          </w:p>
        </w:tc>
        <w:tc>
          <w:tcPr>
            <w:tcW w:type="dxa" w:w="785"/>
          </w:tcPr>
          <w:p>
            <w:pPr>
              <w:spacing w:line="276" w:lineRule="auto"/>
            </w:pPr>
            <w:r>
              <w:t>0.059</w:t>
            </w:r>
          </w:p>
        </w:tc>
        <w:tc>
          <w:tcPr>
            <w:tcW w:type="dxa" w:w="785"/>
          </w:tcPr>
          <w:p>
            <w:pPr>
              <w:spacing w:line="276" w:lineRule="auto"/>
            </w:pPr>
            <w:r>
              <w:t>0.01865</w:t>
            </w:r>
          </w:p>
        </w:tc>
        <w:tc>
          <w:tcPr>
            <w:tcW w:type="dxa" w:w="785"/>
          </w:tcPr>
          <w:p>
            <w:pPr>
              <w:spacing w:line="276" w:lineRule="auto"/>
            </w:pPr>
            <w:r>
              <w:t>0.01816</w:t>
            </w:r>
          </w:p>
        </w:tc>
        <w:tc>
          <w:tcPr>
            <w:tcW w:type="dxa" w:w="785"/>
          </w:tcPr>
          <w:p>
            <w:pPr>
              <w:spacing w:line="276" w:lineRule="auto"/>
            </w:pPr>
            <w:r>
              <w:t>0.01754</w:t>
            </w:r>
          </w:p>
        </w:tc>
        <w:tc>
          <w:tcPr>
            <w:tcW w:type="dxa" w:w="785"/>
          </w:tcPr>
          <w:p>
            <w:pPr>
              <w:spacing w:line="276" w:lineRule="auto"/>
            </w:pPr>
            <w:r>
              <w:t>0.026</w:t>
            </w:r>
          </w:p>
        </w:tc>
        <w:tc>
          <w:tcPr>
            <w:tcW w:type="dxa" w:w="785"/>
          </w:tcPr>
          <w:p>
            <w:pPr>
              <w:spacing w:line="276" w:lineRule="auto"/>
            </w:pPr>
            <w:r>
              <w:t>0.059</w:t>
            </w:r>
          </w:p>
        </w:tc>
        <w:tc>
          <w:tcPr>
            <w:tcW w:type="dxa" w:w="785"/>
          </w:tcPr>
          <w:p>
            <w:pPr>
              <w:spacing w:line="276" w:lineRule="auto"/>
            </w:pPr>
            <w:r>
              <w:t>0.144</w:t>
            </w:r>
          </w:p>
        </w:tc>
      </w:tr>
      <w:tr>
        <w:tc>
          <w:tcPr>
            <w:tcW w:type="dxa" w:w="785"/>
          </w:tcPr>
          <w:p>
            <w:pPr>
              <w:spacing w:line="276" w:lineRule="auto"/>
            </w:pPr>
            <w:r>
              <w:t>Prognostic_score</w:t>
            </w:r>
          </w:p>
        </w:tc>
        <w:tc>
          <w:tcPr>
            <w:tcW w:type="dxa" w:w="785"/>
          </w:tcPr>
          <w:p>
            <w:pPr>
              <w:spacing w:line="276" w:lineRule="auto"/>
            </w:pPr>
            <w:r>
              <w:t>0.026</w:t>
            </w:r>
          </w:p>
        </w:tc>
        <w:tc>
          <w:tcPr>
            <w:tcW w:type="dxa" w:w="785"/>
          </w:tcPr>
          <w:p>
            <w:pPr>
              <w:spacing w:line="276" w:lineRule="auto"/>
            </w:pPr>
            <w:r>
              <w:t>0.858</w:t>
            </w:r>
          </w:p>
        </w:tc>
        <w:tc>
          <w:tcPr>
            <w:tcW w:type="dxa" w:w="785"/>
          </w:tcPr>
          <w:p>
            <w:pPr>
              <w:spacing w:line="276" w:lineRule="auto"/>
            </w:pPr>
            <w:r>
              <w:t>0.322</w:t>
            </w:r>
          </w:p>
        </w:tc>
        <w:tc>
          <w:tcPr>
            <w:tcW w:type="dxa" w:w="785"/>
          </w:tcPr>
          <w:p>
            <w:pPr>
              <w:spacing w:line="276" w:lineRule="auto"/>
            </w:pPr>
            <w:r>
              <w:t>0.107</w:t>
            </w:r>
          </w:p>
        </w:tc>
        <w:tc>
          <w:tcPr>
            <w:tcW w:type="dxa" w:w="785"/>
          </w:tcPr>
          <w:p>
            <w:pPr>
              <w:spacing w:line="276" w:lineRule="auto"/>
            </w:pPr>
            <w:r>
              <w:t>0.01865</w:t>
            </w:r>
          </w:p>
        </w:tc>
        <w:tc>
          <w:tcPr>
            <w:tcW w:type="dxa" w:w="785"/>
          </w:tcPr>
          <w:p>
            <w:pPr>
              <w:spacing w:line="276" w:lineRule="auto"/>
            </w:pPr>
            <w:r>
              <w:t>0.01849</w:t>
            </w:r>
          </w:p>
        </w:tc>
        <w:tc>
          <w:tcPr>
            <w:tcW w:type="dxa" w:w="785"/>
          </w:tcPr>
          <w:p>
            <w:pPr>
              <w:spacing w:line="276" w:lineRule="auto"/>
            </w:pPr>
            <w:r>
              <w:t>0.01430</w:t>
            </w:r>
          </w:p>
        </w:tc>
        <w:tc>
          <w:tcPr>
            <w:tcW w:type="dxa" w:w="785"/>
          </w:tcPr>
          <w:p>
            <w:pPr>
              <w:spacing w:line="276" w:lineRule="auto"/>
            </w:pPr>
            <w:r>
              <w:t>0.009</w:t>
            </w:r>
          </w:p>
        </w:tc>
        <w:tc>
          <w:tcPr>
            <w:tcW w:type="dxa" w:w="785"/>
          </w:tcPr>
          <w:p>
            <w:pPr>
              <w:spacing w:line="276" w:lineRule="auto"/>
            </w:pPr>
            <w:r>
              <w:t>0.233</w:t>
            </w:r>
          </w:p>
        </w:tc>
        <w:tc>
          <w:tcPr>
            <w:tcW w:type="dxa" w:w="785"/>
          </w:tcPr>
          <w:p>
            <w:pPr>
              <w:spacing w:line="276" w:lineRule="auto"/>
            </w:pPr>
            <w:r>
              <w:t>0.141</w:t>
            </w:r>
          </w:p>
        </w:tc>
      </w:tr>
      <w:tr>
        <w:tc>
          <w:tcPr>
            <w:tcW w:type="dxa" w:w="785"/>
          </w:tcPr>
          <w:p>
            <w:pPr>
              <w:spacing w:line="276" w:lineRule="auto"/>
            </w:pPr>
            <w:r>
              <w:t>baseline_oracle_kmeans</w:t>
            </w:r>
          </w:p>
        </w:tc>
        <w:tc>
          <w:tcPr>
            <w:tcW w:type="dxa" w:w="785"/>
          </w:tcPr>
          <w:p>
            <w:pPr>
              <w:spacing w:line="276" w:lineRule="auto"/>
            </w:pPr>
            <w:r>
              <w:t>0.372</w:t>
            </w:r>
          </w:p>
        </w:tc>
        <w:tc>
          <w:tcPr>
            <w:tcW w:type="dxa" w:w="785"/>
          </w:tcPr>
          <w:p>
            <w:pPr>
              <w:spacing w:line="276" w:lineRule="auto"/>
            </w:pPr>
            <w:r>
              <w:t>0.913</w:t>
            </w:r>
          </w:p>
        </w:tc>
        <w:tc>
          <w:tcPr>
            <w:tcW w:type="dxa" w:w="785"/>
          </w:tcPr>
          <w:p>
            <w:pPr>
              <w:spacing w:line="276" w:lineRule="auto"/>
            </w:pPr>
            <w:r>
              <w:t>0.355</w:t>
            </w:r>
          </w:p>
        </w:tc>
        <w:tc>
          <w:tcPr>
            <w:tcW w:type="dxa" w:w="785"/>
          </w:tcPr>
          <w:p>
            <w:pPr>
              <w:spacing w:line="276" w:lineRule="auto"/>
            </w:pPr>
            <w:r>
              <w:t>0.030</w:t>
            </w:r>
          </w:p>
        </w:tc>
        <w:tc>
          <w:tcPr>
            <w:tcW w:type="dxa" w:w="785"/>
          </w:tcPr>
          <w:p>
            <w:pPr>
              <w:spacing w:line="276" w:lineRule="auto"/>
            </w:pPr>
            <w:r>
              <w:t>0.01865</w:t>
            </w:r>
          </w:p>
        </w:tc>
        <w:tc>
          <w:tcPr>
            <w:tcW w:type="dxa" w:w="785"/>
          </w:tcPr>
          <w:p>
            <w:pPr>
              <w:spacing w:line="276" w:lineRule="auto"/>
            </w:pPr>
            <w:r>
              <w:t>0.01901</w:t>
            </w:r>
          </w:p>
        </w:tc>
        <w:tc>
          <w:tcPr>
            <w:tcW w:type="dxa" w:w="785"/>
          </w:tcPr>
          <w:p>
            <w:pPr>
              <w:spacing w:line="276" w:lineRule="auto"/>
            </w:pPr>
            <w:r>
              <w:t>0.01651</w:t>
            </w:r>
          </w:p>
        </w:tc>
        <w:tc>
          <w:tcPr>
            <w:tcW w:type="dxa" w:w="785"/>
          </w:tcPr>
          <w:p>
            <w:pPr>
              <w:spacing w:line="276" w:lineRule="auto"/>
            </w:pPr>
            <w:r>
              <w:t>-0.019</w:t>
            </w:r>
          </w:p>
        </w:tc>
        <w:tc>
          <w:tcPr>
            <w:tcW w:type="dxa" w:w="785"/>
          </w:tcPr>
          <w:p>
            <w:pPr>
              <w:spacing w:line="276" w:lineRule="auto"/>
            </w:pPr>
            <w:r>
              <w:t>0.115</w:t>
            </w:r>
          </w:p>
        </w:tc>
        <w:tc>
          <w:tcPr>
            <w:tcW w:type="dxa" w:w="785"/>
          </w:tcPr>
          <w:p>
            <w:pPr>
              <w:spacing w:line="276" w:lineRule="auto"/>
            </w:pPr>
            <w:r>
              <w:t>0.124</w:t>
            </w:r>
          </w:p>
        </w:tc>
      </w:tr>
      <w:tr>
        <w:tc>
          <w:tcPr>
            <w:tcW w:type="dxa" w:w="785"/>
          </w:tcPr>
          <w:p>
            <w:pPr>
              <w:spacing w:line="276" w:lineRule="auto"/>
            </w:pPr>
            <w:r>
              <w:t>baseline_oracle_quantile</w:t>
            </w:r>
          </w:p>
        </w:tc>
        <w:tc>
          <w:tcPr>
            <w:tcW w:type="dxa" w:w="785"/>
          </w:tcPr>
          <w:p>
            <w:pPr>
              <w:spacing w:line="276" w:lineRule="auto"/>
            </w:pPr>
            <w:r>
              <w:t>0.095</w:t>
            </w:r>
          </w:p>
        </w:tc>
        <w:tc>
          <w:tcPr>
            <w:tcW w:type="dxa" w:w="785"/>
          </w:tcPr>
          <w:p>
            <w:pPr>
              <w:spacing w:line="276" w:lineRule="auto"/>
            </w:pPr>
            <w:r>
              <w:t>0.897</w:t>
            </w:r>
          </w:p>
        </w:tc>
        <w:tc>
          <w:tcPr>
            <w:tcW w:type="dxa" w:w="785"/>
          </w:tcPr>
          <w:p>
            <w:pPr>
              <w:spacing w:line="276" w:lineRule="auto"/>
            </w:pPr>
            <w:r>
              <w:t>0.447</w:t>
            </w:r>
          </w:p>
        </w:tc>
        <w:tc>
          <w:tcPr>
            <w:tcW w:type="dxa" w:w="785"/>
          </w:tcPr>
          <w:p>
            <w:pPr>
              <w:spacing w:line="276" w:lineRule="auto"/>
            </w:pPr>
            <w:r>
              <w:t>0.042</w:t>
            </w:r>
          </w:p>
        </w:tc>
        <w:tc>
          <w:tcPr>
            <w:tcW w:type="dxa" w:w="785"/>
          </w:tcPr>
          <w:p>
            <w:pPr>
              <w:spacing w:line="276" w:lineRule="auto"/>
            </w:pPr>
            <w:r>
              <w:t>0.01865</w:t>
            </w:r>
          </w:p>
        </w:tc>
        <w:tc>
          <w:tcPr>
            <w:tcW w:type="dxa" w:w="785"/>
          </w:tcPr>
          <w:p>
            <w:pPr>
              <w:spacing w:line="276" w:lineRule="auto"/>
            </w:pPr>
            <w:r>
              <w:t>0.01620</w:t>
            </w:r>
          </w:p>
        </w:tc>
        <w:tc>
          <w:tcPr>
            <w:tcW w:type="dxa" w:w="785"/>
          </w:tcPr>
          <w:p>
            <w:pPr>
              <w:spacing w:line="276" w:lineRule="auto"/>
            </w:pPr>
            <w:r>
              <w:t>0.01266</w:t>
            </w:r>
          </w:p>
        </w:tc>
        <w:tc>
          <w:tcPr>
            <w:tcW w:type="dxa" w:w="785"/>
          </w:tcPr>
          <w:p>
            <w:pPr>
              <w:spacing w:line="276" w:lineRule="auto"/>
            </w:pPr>
            <w:r>
              <w:t>0.131</w:t>
            </w:r>
          </w:p>
        </w:tc>
        <w:tc>
          <w:tcPr>
            <w:tcW w:type="dxa" w:w="785"/>
          </w:tcPr>
          <w:p>
            <w:pPr>
              <w:spacing w:line="276" w:lineRule="auto"/>
            </w:pPr>
            <w:r>
              <w:t>0.321</w:t>
            </w:r>
          </w:p>
        </w:tc>
        <w:tc>
          <w:tcPr>
            <w:tcW w:type="dxa" w:w="785"/>
          </w:tcPr>
          <w:p>
            <w:pPr>
              <w:spacing w:line="276" w:lineRule="auto"/>
            </w:pPr>
            <w:r>
              <w:t>0.169</w:t>
            </w:r>
          </w:p>
        </w:tc>
      </w:tr>
      <w:tr>
        <w:tc>
          <w:tcPr>
            <w:tcW w:type="dxa" w:w="785"/>
          </w:tcPr>
          <w:p>
            <w:pPr>
              <w:spacing w:line="276" w:lineRule="auto"/>
            </w:pPr>
            <w:r>
              <w:t>baseline_random</w:t>
            </w:r>
          </w:p>
        </w:tc>
        <w:tc>
          <w:tcPr>
            <w:tcW w:type="dxa" w:w="785"/>
          </w:tcPr>
          <w:p>
            <w:pPr>
              <w:spacing w:line="276" w:lineRule="auto"/>
            </w:pPr>
            <w:r>
              <w:t>0.000</w:t>
            </w:r>
          </w:p>
        </w:tc>
        <w:tc>
          <w:tcPr>
            <w:tcW w:type="dxa" w:w="785"/>
          </w:tcPr>
          <w:p>
            <w:pPr>
              <w:spacing w:line="276" w:lineRule="auto"/>
            </w:pPr>
            <w:r>
              <w:t>0.883</w:t>
            </w:r>
          </w:p>
        </w:tc>
        <w:tc>
          <w:tcPr>
            <w:tcW w:type="dxa" w:w="785"/>
          </w:tcPr>
          <w:p>
            <w:pPr>
              <w:spacing w:line="276" w:lineRule="auto"/>
            </w:pPr>
            <w:r>
              <w:t>0.004</w:t>
            </w:r>
          </w:p>
        </w:tc>
        <w:tc>
          <w:tcPr>
            <w:tcW w:type="dxa" w:w="785"/>
          </w:tcPr>
          <w:p>
            <w:pPr>
              <w:spacing w:line="276" w:lineRule="auto"/>
            </w:pPr>
            <w:r>
              <w:t>0.004</w:t>
            </w:r>
          </w:p>
        </w:tc>
        <w:tc>
          <w:tcPr>
            <w:tcW w:type="dxa" w:w="785"/>
          </w:tcPr>
          <w:p>
            <w:pPr>
              <w:spacing w:line="276" w:lineRule="auto"/>
            </w:pPr>
            <w:r>
              <w:t>0.01865</w:t>
            </w:r>
          </w:p>
        </w:tc>
        <w:tc>
          <w:tcPr>
            <w:tcW w:type="dxa" w:w="785"/>
          </w:tcPr>
          <w:p>
            <w:pPr>
              <w:spacing w:line="276" w:lineRule="auto"/>
            </w:pPr>
            <w:r>
              <w:t>0.01847</w:t>
            </w:r>
          </w:p>
        </w:tc>
        <w:tc>
          <w:tcPr>
            <w:tcW w:type="dxa" w:w="785"/>
          </w:tcPr>
          <w:p>
            <w:pPr>
              <w:spacing w:line="276" w:lineRule="auto"/>
            </w:pPr>
            <w:r>
              <w:t>0.01901</w:t>
            </w:r>
          </w:p>
        </w:tc>
        <w:tc>
          <w:tcPr>
            <w:tcW w:type="dxa" w:w="785"/>
          </w:tcPr>
          <w:p>
            <w:pPr>
              <w:spacing w:line="276" w:lineRule="auto"/>
            </w:pPr>
            <w:r>
              <w:t>0.010</w:t>
            </w:r>
          </w:p>
        </w:tc>
        <w:tc>
          <w:tcPr>
            <w:tcW w:type="dxa" w:w="785"/>
          </w:tcPr>
          <w:p>
            <w:pPr>
              <w:spacing w:line="276" w:lineRule="auto"/>
            </w:pPr>
            <w:r>
              <w:t>-0.019</w:t>
            </w:r>
          </w:p>
        </w:tc>
        <w:tc>
          <w:tcPr>
            <w:tcW w:type="dxa" w:w="785"/>
          </w:tcPr>
          <w:p>
            <w:pPr>
              <w:spacing w:line="276" w:lineRule="auto"/>
            </w:pPr>
            <w:r>
              <w:t>0.117</w:t>
            </w:r>
          </w:p>
        </w:tc>
      </w:tr>
    </w:tbl>
    <w:p>
      <w:pPr>
        <w:spacing w:before="240" w:line="480" w:lineRule="auto"/>
      </w:pPr>
      <w:r/>
      <w:r>
        <w:rPr>
          <w:i/>
        </w:rPr>
        <w:t>Table 1. Primary IPD scenario (n=2000, 10 studies, K=5): means over 50 simulations.</w:t>
      </w:r>
      <w:r/>
    </w:p>
    <w:p>
      <w:pPr>
        <w:spacing w:line="480" w:lineRule="auto"/>
      </w:pPr>
      <w:r>
        <w:t>Figure 1 visualises the primary scenario across methods.</w:t>
      </w:r>
    </w:p>
    <w:p>
      <w:pPr>
        <w:spacing w:after="120" w:line="480" w:lineRule="auto"/>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line="480" w:lineRule="auto"/>
        <w:jc w:val="center"/>
      </w:pPr>
      <w:r>
        <w:rPr>
          <w:b/>
        </w:rPr>
        <w:t>Figure 1. Primary IPD scenario: (a) ARI, (b) C1/W coherence diagnostics, and (c) ATE bias reduction by method.</w:t>
      </w:r>
    </w:p>
    <w:p>
      <w:pPr>
        <w:pStyle w:val="Heading2"/>
        <w:spacing w:line="480" w:lineRule="auto"/>
      </w:pPr>
      <w:r>
        <w:t>Sensitivity to the number of strata</w:t>
      </w:r>
    </w:p>
    <w:p>
      <w:pPr>
        <w:spacing w:line="480" w:lineRule="auto"/>
      </w:pPr>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line="480" w:lineRule="auto"/>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line="480" w:lineRule="auto"/>
        <w:jc w:val="center"/>
      </w:pPr>
      <w:r>
        <w:rPr>
          <w:b/>
        </w:rPr>
        <w:t>Figure 2. Random-effects ATE bias reduction as the number of strata varies.</w:t>
      </w:r>
    </w:p>
    <w:p>
      <w:pPr>
        <w:pStyle w:val="Heading2"/>
        <w:spacing w:line="480" w:lineRule="auto"/>
      </w:pPr>
      <w:r>
        <w:t>Semi-synthetic illustrations</w:t>
      </w:r>
    </w:p>
    <w:p>
      <w:pPr>
        <w:spacing w:line="480" w:lineRule="auto"/>
      </w:pPr>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76" w:lineRule="auto"/>
            </w:pPr>
            <w:r>
              <w:rPr>
                <w:b/>
              </w:rPr>
              <w:t>Dataset</w:t>
            </w:r>
          </w:p>
        </w:tc>
        <w:tc>
          <w:tcPr>
            <w:tcW w:type="dxa" w:w="1234"/>
          </w:tcPr>
          <w:p>
            <w:pPr>
              <w:spacing w:line="276" w:lineRule="auto"/>
            </w:pPr>
            <w:r>
              <w:rPr>
                <w:b/>
              </w:rPr>
              <w:t>Method</w:t>
            </w:r>
          </w:p>
        </w:tc>
        <w:tc>
          <w:tcPr>
            <w:tcW w:type="dxa" w:w="1234"/>
          </w:tcPr>
          <w:p>
            <w:pPr>
              <w:spacing w:line="276" w:lineRule="auto"/>
            </w:pPr>
            <w:r>
              <w:rPr>
                <w:b/>
              </w:rPr>
              <w:t>K</w:t>
            </w:r>
          </w:p>
        </w:tc>
        <w:tc>
          <w:tcPr>
            <w:tcW w:type="dxa" w:w="1234"/>
          </w:tcPr>
          <w:p>
            <w:pPr>
              <w:spacing w:line="276" w:lineRule="auto"/>
            </w:pPr>
            <w:r>
              <w:rPr>
                <w:b/>
              </w:rPr>
              <w:t>ARI</w:t>
            </w:r>
          </w:p>
        </w:tc>
        <w:tc>
          <w:tcPr>
            <w:tcW w:type="dxa" w:w="1234"/>
          </w:tcPr>
          <w:p>
            <w:pPr>
              <w:spacing w:line="276" w:lineRule="auto"/>
            </w:pPr>
            <w:r>
              <w:rPr>
                <w:b/>
              </w:rPr>
              <w:t>C1</w:t>
            </w:r>
          </w:p>
        </w:tc>
        <w:tc>
          <w:tcPr>
            <w:tcW w:type="dxa" w:w="1234"/>
          </w:tcPr>
          <w:p>
            <w:pPr>
              <w:spacing w:line="276" w:lineRule="auto"/>
            </w:pPr>
            <m:oMath>
              <m:sSub>
                <m:e>
                  <m:r>
                    <m:t xml:space="preserve">W</m:t>
                  </m:r>
                </m:e>
                <m:sub>
                  <m:r>
                    <m:t xml:space="preserve">est</m:t>
                  </m:r>
                </m:sub>
              </m:sSub>
            </m:oMath>
          </w:p>
        </w:tc>
        <w:tc>
          <w:tcPr>
            <w:tcW w:type="dxa" w:w="1234"/>
          </w:tcPr>
          <w:p>
            <w:pPr>
              <w:spacing w:line="276" w:lineRule="auto"/>
            </w:pPr>
            <w:r>
              <w:rPr>
                <w:b/>
              </w:rPr>
              <w:t>Bias reduction</w:t>
            </w:r>
          </w:p>
        </w:tc>
      </w:tr>
      <w:tr>
        <w:tc>
          <w:tcPr>
            <w:tcW w:type="dxa" w:w="1234"/>
          </w:tcPr>
          <w:p>
            <w:pPr>
              <w:spacing w:line="276" w:lineRule="auto"/>
            </w:pPr>
            <w:r>
              <w:t>COVID-19 CFR</w:t>
            </w:r>
          </w:p>
        </w:tc>
        <w:tc>
          <w:tcPr>
            <w:tcW w:type="dxa" w:w="1234"/>
          </w:tcPr>
          <w:p>
            <w:pPr>
              <w:spacing w:line="276" w:lineRule="auto"/>
            </w:pPr>
            <w:r>
              <w:t>1B_residual</w:t>
            </w:r>
          </w:p>
        </w:tc>
        <w:tc>
          <w:tcPr>
            <w:tcW w:type="dxa" w:w="1234"/>
          </w:tcPr>
          <w:p>
            <w:pPr>
              <w:spacing w:line="276" w:lineRule="auto"/>
            </w:pPr>
            <w:r>
              <w:t>3</w:t>
            </w:r>
          </w:p>
        </w:tc>
        <w:tc>
          <w:tcPr>
            <w:tcW w:type="dxa" w:w="1234"/>
          </w:tcPr>
          <w:p>
            <w:pPr>
              <w:spacing w:line="276" w:lineRule="auto"/>
            </w:pPr>
            <w:r>
              <w:t>0.065</w:t>
            </w:r>
          </w:p>
        </w:tc>
        <w:tc>
          <w:tcPr>
            <w:tcW w:type="dxa" w:w="1234"/>
          </w:tcPr>
          <w:p>
            <w:pPr>
              <w:spacing w:line="276" w:lineRule="auto"/>
            </w:pPr>
            <w:r>
              <w:t>1.000</w:t>
            </w:r>
          </w:p>
        </w:tc>
        <w:tc>
          <w:tcPr>
            <w:tcW w:type="dxa" w:w="1234"/>
          </w:tcPr>
          <w:p>
            <w:pPr>
              <w:spacing w:line="276" w:lineRule="auto"/>
            </w:pPr>
            <w:r>
              <w:t>0.035</w:t>
            </w:r>
          </w:p>
        </w:tc>
        <w:tc>
          <w:tcPr>
            <w:tcW w:type="dxa" w:w="1234"/>
          </w:tcPr>
          <w:p>
            <w:pPr>
              <w:spacing w:line="276" w:lineRule="auto"/>
            </w:pPr>
            <w:r>
              <w:t>0.017</w:t>
            </w:r>
          </w:p>
        </w:tc>
      </w:tr>
      <w:tr>
        <w:tc>
          <w:tcPr>
            <w:tcW w:type="dxa" w:w="1234"/>
          </w:tcPr>
          <w:p>
            <w:pPr>
              <w:spacing w:line="276" w:lineRule="auto"/>
            </w:pPr>
            <w:r>
              <w:t>Israel Vaccine</w:t>
            </w:r>
          </w:p>
        </w:tc>
        <w:tc>
          <w:tcPr>
            <w:tcW w:type="dxa" w:w="1234"/>
          </w:tcPr>
          <w:p>
            <w:pPr>
              <w:spacing w:line="276" w:lineRule="auto"/>
            </w:pPr>
            <w:r>
              <w:t>2B_clustering</w:t>
            </w:r>
          </w:p>
        </w:tc>
        <w:tc>
          <w:tcPr>
            <w:tcW w:type="dxa" w:w="1234"/>
          </w:tcPr>
          <w:p>
            <w:pPr>
              <w:spacing w:line="276" w:lineRule="auto"/>
            </w:pPr>
            <w:r>
              <w:t>2</w:t>
            </w:r>
          </w:p>
        </w:tc>
        <w:tc>
          <w:tcPr>
            <w:tcW w:type="dxa" w:w="1234"/>
          </w:tcPr>
          <w:p>
            <w:pPr>
              <w:spacing w:line="276" w:lineRule="auto"/>
            </w:pPr>
            <w:r>
              <w:t>0.644</w:t>
            </w:r>
          </w:p>
        </w:tc>
        <w:tc>
          <w:tcPr>
            <w:tcW w:type="dxa" w:w="1234"/>
          </w:tcPr>
          <w:p>
            <w:pPr>
              <w:spacing w:line="276" w:lineRule="auto"/>
            </w:pPr>
            <w:r>
              <w:t>1.000</w:t>
            </w:r>
          </w:p>
        </w:tc>
        <w:tc>
          <w:tcPr>
            <w:tcW w:type="dxa" w:w="1234"/>
          </w:tcPr>
          <w:p>
            <w:pPr>
              <w:spacing w:line="276" w:lineRule="auto"/>
            </w:pPr>
            <w:r>
              <w:t>0.557</w:t>
            </w:r>
          </w:p>
        </w:tc>
        <w:tc>
          <w:tcPr>
            <w:tcW w:type="dxa" w:w="1234"/>
          </w:tcPr>
          <w:p>
            <w:pPr>
              <w:spacing w:line="276" w:lineRule="auto"/>
            </w:pPr>
            <w:r>
              <w:t>0.001</w:t>
            </w:r>
          </w:p>
        </w:tc>
      </w:tr>
      <w:tr>
        <w:tc>
          <w:tcPr>
            <w:tcW w:type="dxa" w:w="1234"/>
          </w:tcPr>
          <w:p>
            <w:pPr>
              <w:spacing w:line="276" w:lineRule="auto"/>
            </w:pPr>
            <w:r>
              <w:t>Kidney Stone</w:t>
            </w:r>
          </w:p>
        </w:tc>
        <w:tc>
          <w:tcPr>
            <w:tcW w:type="dxa" w:w="1234"/>
          </w:tcPr>
          <w:p>
            <w:pPr>
              <w:spacing w:line="276" w:lineRule="auto"/>
            </w:pPr>
            <w:r>
              <w:t>GMM</w:t>
            </w:r>
          </w:p>
        </w:tc>
        <w:tc>
          <w:tcPr>
            <w:tcW w:type="dxa" w:w="1234"/>
          </w:tcPr>
          <w:p>
            <w:pPr>
              <w:spacing w:line="276" w:lineRule="auto"/>
            </w:pPr>
            <w:r>
              <w:t>2</w:t>
            </w:r>
          </w:p>
        </w:tc>
        <w:tc>
          <w:tcPr>
            <w:tcW w:type="dxa" w:w="1234"/>
          </w:tcPr>
          <w:p>
            <w:pPr>
              <w:spacing w:line="276" w:lineRule="auto"/>
            </w:pPr>
            <w:r>
              <w:t>0.966</w:t>
            </w:r>
          </w:p>
        </w:tc>
        <w:tc>
          <w:tcPr>
            <w:tcW w:type="dxa" w:w="1234"/>
          </w:tcPr>
          <w:p>
            <w:pPr>
              <w:spacing w:line="276" w:lineRule="auto"/>
            </w:pPr>
            <w:r>
              <w:t>0.830</w:t>
            </w:r>
          </w:p>
        </w:tc>
        <w:tc>
          <w:tcPr>
            <w:tcW w:type="dxa" w:w="1234"/>
          </w:tcPr>
          <w:p>
            <w:pPr>
              <w:spacing w:line="276" w:lineRule="auto"/>
            </w:pPr>
            <w:r>
              <w:t>0.167</w:t>
            </w:r>
          </w:p>
        </w:tc>
        <w:tc>
          <w:tcPr>
            <w:tcW w:type="dxa" w:w="1234"/>
          </w:tcPr>
          <w:p>
            <w:pPr>
              <w:spacing w:line="276" w:lineRule="auto"/>
            </w:pPr>
            <w:r>
              <w:t>0.094</w:t>
            </w:r>
          </w:p>
        </w:tc>
      </w:tr>
      <w:tr>
        <w:tc>
          <w:tcPr>
            <w:tcW w:type="dxa" w:w="1234"/>
          </w:tcPr>
          <w:p>
            <w:pPr>
              <w:spacing w:line="276" w:lineRule="auto"/>
            </w:pPr>
            <w:r>
              <w:t>Smoking Mortality</w:t>
            </w:r>
          </w:p>
        </w:tc>
        <w:tc>
          <w:tcPr>
            <w:tcW w:type="dxa" w:w="1234"/>
          </w:tcPr>
          <w:p>
            <w:pPr>
              <w:spacing w:line="276" w:lineRule="auto"/>
            </w:pPr>
            <w:r>
              <w:t>1A_predicted_prob</w:t>
            </w:r>
          </w:p>
        </w:tc>
        <w:tc>
          <w:tcPr>
            <w:tcW w:type="dxa" w:w="1234"/>
          </w:tcPr>
          <w:p>
            <w:pPr>
              <w:spacing w:line="276" w:lineRule="auto"/>
            </w:pPr>
            <w:r>
              <w:t>7</w:t>
            </w:r>
          </w:p>
        </w:tc>
        <w:tc>
          <w:tcPr>
            <w:tcW w:type="dxa" w:w="1234"/>
          </w:tcPr>
          <w:p>
            <w:pPr>
              <w:spacing w:line="276" w:lineRule="auto"/>
            </w:pPr>
            <w:r>
              <w:t>0.498</w:t>
            </w:r>
          </w:p>
        </w:tc>
        <w:tc>
          <w:tcPr>
            <w:tcW w:type="dxa" w:w="1234"/>
          </w:tcPr>
          <w:p>
            <w:pPr>
              <w:spacing w:line="276" w:lineRule="auto"/>
            </w:pPr>
            <w:r>
              <w:t>1.000</w:t>
            </w:r>
          </w:p>
        </w:tc>
        <w:tc>
          <w:tcPr>
            <w:tcW w:type="dxa" w:w="1234"/>
          </w:tcPr>
          <w:p>
            <w:pPr>
              <w:spacing w:line="276" w:lineRule="auto"/>
            </w:pPr>
            <w:r>
              <w:t>0.161</w:t>
            </w:r>
          </w:p>
        </w:tc>
        <w:tc>
          <w:tcPr>
            <w:tcW w:type="dxa" w:w="1234"/>
          </w:tcPr>
          <w:p>
            <w:pPr>
              <w:spacing w:line="276" w:lineRule="auto"/>
            </w:pPr>
            <w:r>
              <w:t>0.114</w:t>
            </w:r>
          </w:p>
        </w:tc>
      </w:tr>
      <w:tr>
        <w:tc>
          <w:tcPr>
            <w:tcW w:type="dxa" w:w="1234"/>
          </w:tcPr>
          <w:p>
            <w:pPr>
              <w:spacing w:line="276" w:lineRule="auto"/>
            </w:pPr>
            <w:r>
              <w:t>UC Berkeley</w:t>
            </w:r>
          </w:p>
        </w:tc>
        <w:tc>
          <w:tcPr>
            <w:tcW w:type="dxa" w:w="1234"/>
          </w:tcPr>
          <w:p>
            <w:pPr>
              <w:spacing w:line="276" w:lineRule="auto"/>
            </w:pPr>
            <w:r>
              <w:t>PS_propensity_score</w:t>
            </w:r>
          </w:p>
        </w:tc>
        <w:tc>
          <w:tcPr>
            <w:tcW w:type="dxa" w:w="1234"/>
          </w:tcPr>
          <w:p>
            <w:pPr>
              <w:spacing w:line="276" w:lineRule="auto"/>
            </w:pPr>
            <w:r>
              <w:t>3</w:t>
            </w:r>
          </w:p>
        </w:tc>
        <w:tc>
          <w:tcPr>
            <w:tcW w:type="dxa" w:w="1234"/>
          </w:tcPr>
          <w:p>
            <w:pPr>
              <w:spacing w:line="276" w:lineRule="auto"/>
            </w:pPr>
            <w:r>
              <w:t>0.084</w:t>
            </w:r>
          </w:p>
        </w:tc>
        <w:tc>
          <w:tcPr>
            <w:tcW w:type="dxa" w:w="1234"/>
          </w:tcPr>
          <w:p>
            <w:pPr>
              <w:spacing w:line="276" w:lineRule="auto"/>
            </w:pPr>
            <w:r>
              <w:t>0.284</w:t>
            </w:r>
          </w:p>
        </w:tc>
        <w:tc>
          <w:tcPr>
            <w:tcW w:type="dxa" w:w="1234"/>
          </w:tcPr>
          <w:p>
            <w:pPr>
              <w:spacing w:line="276" w:lineRule="auto"/>
            </w:pPr>
            <w:r>
              <w:t>0.177</w:t>
            </w:r>
          </w:p>
        </w:tc>
        <w:tc>
          <w:tcPr>
            <w:tcW w:type="dxa" w:w="1234"/>
          </w:tcPr>
          <w:p>
            <w:pPr>
              <w:spacing w:line="276" w:lineRule="auto"/>
            </w:pPr>
            <w:r>
              <w:t>0.031</w:t>
            </w:r>
          </w:p>
        </w:tc>
      </w:tr>
    </w:tbl>
    <w:p>
      <w:pPr>
        <w:spacing w:before="240" w:line="480" w:lineRule="auto"/>
      </w:pPr>
      <w:r/>
      <w:r>
        <w:rPr>
          <w:i/>
        </w:rPr>
        <w:t>Table 2. Best semi-synthetic illustration result per dataset (oracle baselines excluded). Bias reduction is the absolute difference between crude and stratified ATE risk-difference bias.</w:t>
      </w:r>
      <w:r/>
    </w:p>
    <w:p>
      <w:pPr>
        <w:spacing w:line="480" w:lineRule="auto"/>
      </w:pPr>
      <w:r>
        <w:t>Figure 3 displays ARI by dataset and method for the semi-synthetic examples.</w:t>
      </w:r>
    </w:p>
    <w:p>
      <w:pPr>
        <w:spacing w:after="120" w:line="480" w:lineRule="auto"/>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line="480" w:lineRule="auto"/>
        <w:jc w:val="center"/>
      </w:pPr>
      <w:r>
        <w:rPr>
          <w:b/>
        </w:rPr>
        <w:t>Figure 3. Semi-synthetic illustration: ARI by dataset and method.</w:t>
      </w:r>
    </w:p>
    <w:p>
      <w:pPr>
        <w:pStyle w:val="Heading2"/>
        <w:spacing w:line="480" w:lineRule="auto"/>
      </w:pPr>
      <w:r>
        <w:t>Sensitivity to sample size</w:t>
      </w:r>
    </w:p>
    <w:p>
      <w:pPr>
        <w:spacing w:line="480" w:lineRule="auto"/>
      </w:pPr>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showing that performance depends on the method as well as sample size. This pattern indicates that stratification can remove the estimable part of confounding-driven aggregation bias, but it cannot fully adjust for unmodelled hidden effect modification.</w:t>
      </w:r>
    </w:p>
    <w:p>
      <w:pPr>
        <w:spacing w:after="120" w:line="480" w:lineRule="auto"/>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line="480" w:lineRule="auto"/>
        <w:jc w:val="center"/>
      </w:pPr>
      <w:r>
        <w:rPr>
          <w:b/>
        </w:rPr>
        <w:t>Figure 4. Sample-size sensitivity of random-effects ATE bias reduction (K=5).</w:t>
      </w:r>
    </w:p>
    <w:p>
      <w:pPr>
        <w:pStyle w:val="Heading2"/>
        <w:spacing w:line="480" w:lineRule="auto"/>
      </w:pPr>
      <w:r>
        <w:t>Sensitivity to Z-to-X and Z-to-Y effects</w:t>
      </w:r>
    </w:p>
    <w:p>
      <w:pPr>
        <w:spacing w:line="480" w:lineRule="auto"/>
      </w:pPr>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spacing w:line="480" w:lineRule="auto"/>
      </w:pPr>
      <w:r>
        <w:t>Robustness to non-linear Z-to-X mappings</w:t>
      </w:r>
    </w:p>
    <w:p>
      <w:pPr>
        <w:spacing w:line="480" w:lineRule="auto"/>
      </w:pPr>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line="276" w:lineRule="auto"/>
            </w:pPr>
            <w:r>
              <w:rPr>
                <w:b/>
              </w:rPr>
              <w:t>Method</w:t>
            </w:r>
          </w:p>
        </w:tc>
        <w:tc>
          <w:tcPr>
            <w:tcW w:type="dxa" w:w="960"/>
          </w:tcPr>
          <w:p>
            <w:pPr>
              <w:spacing w:line="276" w:lineRule="auto"/>
            </w:pPr>
            <w:r>
              <w:rPr>
                <w:b/>
              </w:rPr>
              <w:t>Linear RE bias</w:t>
            </w:r>
          </w:p>
        </w:tc>
        <w:tc>
          <w:tcPr>
            <w:tcW w:type="dxa" w:w="960"/>
          </w:tcPr>
          <w:p>
            <w:pPr>
              <w:spacing w:line="276" w:lineRule="auto"/>
            </w:pPr>
            <w:r>
              <w:rPr>
                <w:b/>
              </w:rPr>
              <w:t>Linear RE bias SE</w:t>
            </w:r>
          </w:p>
        </w:tc>
        <w:tc>
          <w:tcPr>
            <w:tcW w:type="dxa" w:w="960"/>
          </w:tcPr>
          <w:p>
            <w:pPr>
              <w:spacing w:line="276" w:lineRule="auto"/>
            </w:pPr>
            <w:r>
              <w:rPr>
                <w:b/>
              </w:rPr>
              <w:t>Linear rel reduction</w:t>
            </w:r>
          </w:p>
        </w:tc>
        <w:tc>
          <w:tcPr>
            <w:tcW w:type="dxa" w:w="960"/>
          </w:tcPr>
          <w:p>
            <w:pPr>
              <w:spacing w:line="276" w:lineRule="auto"/>
            </w:pPr>
            <w:r>
              <w:rPr>
                <w:b/>
              </w:rPr>
              <w:t>Linear rel reduction SE</w:t>
            </w:r>
          </w:p>
        </w:tc>
        <w:tc>
          <w:tcPr>
            <w:tcW w:type="dxa" w:w="960"/>
          </w:tcPr>
          <w:p>
            <w:pPr>
              <w:spacing w:line="276" w:lineRule="auto"/>
            </w:pPr>
            <w:r>
              <w:rPr>
                <w:b/>
              </w:rPr>
              <w:t>Non-linear RE bias</w:t>
            </w:r>
          </w:p>
        </w:tc>
        <w:tc>
          <w:tcPr>
            <w:tcW w:type="dxa" w:w="960"/>
          </w:tcPr>
          <w:p>
            <w:pPr>
              <w:spacing w:line="276" w:lineRule="auto"/>
            </w:pPr>
            <w:r>
              <w:rPr>
                <w:b/>
              </w:rPr>
              <w:t>Non-linear RE bias SE</w:t>
            </w:r>
          </w:p>
        </w:tc>
        <w:tc>
          <w:tcPr>
            <w:tcW w:type="dxa" w:w="960"/>
          </w:tcPr>
          <w:p>
            <w:pPr>
              <w:spacing w:line="276" w:lineRule="auto"/>
            </w:pPr>
            <w:r>
              <w:rPr>
                <w:b/>
              </w:rPr>
              <w:t>Non-linear rel reduction</w:t>
            </w:r>
          </w:p>
        </w:tc>
        <w:tc>
          <w:tcPr>
            <w:tcW w:type="dxa" w:w="960"/>
          </w:tcPr>
          <w:p>
            <w:pPr>
              <w:spacing w:line="276" w:lineRule="auto"/>
            </w:pPr>
            <w:r>
              <w:rPr>
                <w:b/>
              </w:rPr>
              <w:t>Non-linear rel reduction SE</w:t>
            </w:r>
          </w:p>
        </w:tc>
      </w:tr>
      <w:tr>
        <w:tc>
          <w:tcPr>
            <w:tcW w:type="dxa" w:w="960"/>
          </w:tcPr>
          <w:p>
            <w:pPr>
              <w:spacing w:line="276" w:lineRule="auto"/>
            </w:pPr>
            <w:r>
              <w:t>1B_residual</w:t>
            </w:r>
          </w:p>
        </w:tc>
        <w:tc>
          <w:tcPr>
            <w:tcW w:type="dxa" w:w="960"/>
          </w:tcPr>
          <w:p>
            <w:pPr>
              <w:spacing w:line="276" w:lineRule="auto"/>
            </w:pPr>
            <w:r>
              <w:t>0.00852</w:t>
            </w:r>
          </w:p>
        </w:tc>
        <w:tc>
          <w:tcPr>
            <w:tcW w:type="dxa" w:w="960"/>
          </w:tcPr>
          <w:p>
            <w:pPr>
              <w:spacing w:line="276" w:lineRule="auto"/>
            </w:pPr>
            <w:r>
              <w:t>0.00043</w:t>
            </w:r>
          </w:p>
        </w:tc>
        <w:tc>
          <w:tcPr>
            <w:tcW w:type="dxa" w:w="960"/>
          </w:tcPr>
          <w:p>
            <w:pPr>
              <w:spacing w:line="276" w:lineRule="auto"/>
            </w:pPr>
            <w:r>
              <w:t>0.522</w:t>
            </w:r>
          </w:p>
        </w:tc>
        <w:tc>
          <w:tcPr>
            <w:tcW w:type="dxa" w:w="960"/>
          </w:tcPr>
          <w:p>
            <w:pPr>
              <w:spacing w:line="276" w:lineRule="auto"/>
            </w:pPr>
            <w:r>
              <w:t>0.093</w:t>
            </w:r>
          </w:p>
        </w:tc>
        <w:tc>
          <w:tcPr>
            <w:tcW w:type="dxa" w:w="960"/>
          </w:tcPr>
          <w:p>
            <w:pPr>
              <w:spacing w:line="276" w:lineRule="auto"/>
            </w:pPr>
            <w:r>
              <w:t>0.00724</w:t>
            </w:r>
          </w:p>
        </w:tc>
        <w:tc>
          <w:tcPr>
            <w:tcW w:type="dxa" w:w="960"/>
          </w:tcPr>
          <w:p>
            <w:pPr>
              <w:spacing w:line="276" w:lineRule="auto"/>
            </w:pPr>
            <w:r>
              <w:t>0.00042</w:t>
            </w:r>
          </w:p>
        </w:tc>
        <w:tc>
          <w:tcPr>
            <w:tcW w:type="dxa" w:w="960"/>
          </w:tcPr>
          <w:p>
            <w:pPr>
              <w:spacing w:line="276" w:lineRule="auto"/>
            </w:pPr>
            <w:r>
              <w:t>0.640</w:t>
            </w:r>
          </w:p>
        </w:tc>
        <w:tc>
          <w:tcPr>
            <w:tcW w:type="dxa" w:w="960"/>
          </w:tcPr>
          <w:p>
            <w:pPr>
              <w:spacing w:line="276" w:lineRule="auto"/>
            </w:pPr>
            <w:r>
              <w:t>0.060</w:t>
            </w:r>
          </w:p>
        </w:tc>
      </w:tr>
      <w:tr>
        <w:tc>
          <w:tcPr>
            <w:tcW w:type="dxa" w:w="960"/>
          </w:tcPr>
          <w:p>
            <w:pPr>
              <w:spacing w:line="276" w:lineRule="auto"/>
            </w:pPr>
            <w:r>
              <w:t>PS_propensity_score</w:t>
            </w:r>
          </w:p>
        </w:tc>
        <w:tc>
          <w:tcPr>
            <w:tcW w:type="dxa" w:w="960"/>
          </w:tcPr>
          <w:p>
            <w:pPr>
              <w:spacing w:line="276" w:lineRule="auto"/>
            </w:pPr>
            <w:r>
              <w:t>0.01676</w:t>
            </w:r>
          </w:p>
        </w:tc>
        <w:tc>
          <w:tcPr>
            <w:tcW w:type="dxa" w:w="960"/>
          </w:tcPr>
          <w:p>
            <w:pPr>
              <w:spacing w:line="276" w:lineRule="auto"/>
            </w:pPr>
            <w:r>
              <w:t>0.00223</w:t>
            </w:r>
          </w:p>
        </w:tc>
        <w:tc>
          <w:tcPr>
            <w:tcW w:type="dxa" w:w="960"/>
          </w:tcPr>
          <w:p>
            <w:pPr>
              <w:spacing w:line="276" w:lineRule="auto"/>
            </w:pPr>
            <w:r>
              <w:t>0.060</w:t>
            </w:r>
          </w:p>
        </w:tc>
        <w:tc>
          <w:tcPr>
            <w:tcW w:type="dxa" w:w="960"/>
          </w:tcPr>
          <w:p>
            <w:pPr>
              <w:spacing w:line="276" w:lineRule="auto"/>
            </w:pPr>
            <w:r>
              <w:t>0.111</w:t>
            </w:r>
          </w:p>
        </w:tc>
        <w:tc>
          <w:tcPr>
            <w:tcW w:type="dxa" w:w="960"/>
          </w:tcPr>
          <w:p>
            <w:pPr>
              <w:spacing w:line="276" w:lineRule="auto"/>
            </w:pPr>
            <w:r>
              <w:t>0.01653</w:t>
            </w:r>
          </w:p>
        </w:tc>
        <w:tc>
          <w:tcPr>
            <w:tcW w:type="dxa" w:w="960"/>
          </w:tcPr>
          <w:p>
            <w:pPr>
              <w:spacing w:line="276" w:lineRule="auto"/>
            </w:pPr>
            <w:r>
              <w:t>0.00208</w:t>
            </w:r>
          </w:p>
        </w:tc>
        <w:tc>
          <w:tcPr>
            <w:tcW w:type="dxa" w:w="960"/>
          </w:tcPr>
          <w:p>
            <w:pPr>
              <w:spacing w:line="276" w:lineRule="auto"/>
            </w:pPr>
            <w:r>
              <w:t>0.178</w:t>
            </w:r>
          </w:p>
        </w:tc>
        <w:tc>
          <w:tcPr>
            <w:tcW w:type="dxa" w:w="960"/>
          </w:tcPr>
          <w:p>
            <w:pPr>
              <w:spacing w:line="276" w:lineRule="auto"/>
            </w:pPr>
            <w:r>
              <w:t>0.060</w:t>
            </w:r>
          </w:p>
        </w:tc>
      </w:tr>
      <w:tr>
        <w:tc>
          <w:tcPr>
            <w:tcW w:type="dxa" w:w="960"/>
          </w:tcPr>
          <w:p>
            <w:pPr>
              <w:spacing w:line="276" w:lineRule="auto"/>
            </w:pPr>
            <w:r>
              <w:t>GMM</w:t>
            </w:r>
          </w:p>
        </w:tc>
        <w:tc>
          <w:tcPr>
            <w:tcW w:type="dxa" w:w="960"/>
          </w:tcPr>
          <w:p>
            <w:pPr>
              <w:spacing w:line="276" w:lineRule="auto"/>
            </w:pPr>
            <w:r>
              <w:t>0.01736</w:t>
            </w:r>
          </w:p>
        </w:tc>
        <w:tc>
          <w:tcPr>
            <w:tcW w:type="dxa" w:w="960"/>
          </w:tcPr>
          <w:p>
            <w:pPr>
              <w:spacing w:line="276" w:lineRule="auto"/>
            </w:pPr>
            <w:r>
              <w:t>0.00272</w:t>
            </w:r>
          </w:p>
        </w:tc>
        <w:tc>
          <w:tcPr>
            <w:tcW w:type="dxa" w:w="960"/>
          </w:tcPr>
          <w:p>
            <w:pPr>
              <w:spacing w:line="276" w:lineRule="auto"/>
            </w:pPr>
            <w:r>
              <w:t>0.027</w:t>
            </w:r>
          </w:p>
        </w:tc>
        <w:tc>
          <w:tcPr>
            <w:tcW w:type="dxa" w:w="960"/>
          </w:tcPr>
          <w:p>
            <w:pPr>
              <w:spacing w:line="276" w:lineRule="auto"/>
            </w:pPr>
            <w:r>
              <w:t>0.082</w:t>
            </w:r>
          </w:p>
        </w:tc>
        <w:tc>
          <w:tcPr>
            <w:tcW w:type="dxa" w:w="960"/>
          </w:tcPr>
          <w:p>
            <w:pPr>
              <w:spacing w:line="276" w:lineRule="auto"/>
            </w:pPr>
            <w:r>
              <w:t>0.01894</w:t>
            </w:r>
          </w:p>
        </w:tc>
        <w:tc>
          <w:tcPr>
            <w:tcW w:type="dxa" w:w="960"/>
          </w:tcPr>
          <w:p>
            <w:pPr>
              <w:spacing w:line="276" w:lineRule="auto"/>
            </w:pPr>
            <w:r>
              <w:t>0.00233</w:t>
            </w:r>
          </w:p>
        </w:tc>
        <w:tc>
          <w:tcPr>
            <w:tcW w:type="dxa" w:w="960"/>
          </w:tcPr>
          <w:p>
            <w:pPr>
              <w:spacing w:line="276" w:lineRule="auto"/>
            </w:pPr>
            <w:r>
              <w:t>0.058</w:t>
            </w:r>
          </w:p>
        </w:tc>
        <w:tc>
          <w:tcPr>
            <w:tcW w:type="dxa" w:w="960"/>
          </w:tcPr>
          <w:p>
            <w:pPr>
              <w:spacing w:line="276" w:lineRule="auto"/>
            </w:pPr>
            <w:r>
              <w:t>0.058</w:t>
            </w:r>
          </w:p>
        </w:tc>
      </w:tr>
      <w:tr>
        <w:tc>
          <w:tcPr>
            <w:tcW w:type="dxa" w:w="960"/>
          </w:tcPr>
          <w:p>
            <w:pPr>
              <w:spacing w:line="276" w:lineRule="auto"/>
            </w:pPr>
            <w:r>
              <w:t>Prognostic_score</w:t>
            </w:r>
          </w:p>
        </w:tc>
        <w:tc>
          <w:tcPr>
            <w:tcW w:type="dxa" w:w="960"/>
          </w:tcPr>
          <w:p>
            <w:pPr>
              <w:spacing w:line="276" w:lineRule="auto"/>
            </w:pPr>
            <w:r>
              <w:t>0.01374</w:t>
            </w:r>
          </w:p>
        </w:tc>
        <w:tc>
          <w:tcPr>
            <w:tcW w:type="dxa" w:w="960"/>
          </w:tcPr>
          <w:p>
            <w:pPr>
              <w:spacing w:line="276" w:lineRule="auto"/>
            </w:pPr>
            <w:r>
              <w:t>0.00245</w:t>
            </w:r>
          </w:p>
        </w:tc>
        <w:tc>
          <w:tcPr>
            <w:tcW w:type="dxa" w:w="960"/>
          </w:tcPr>
          <w:p>
            <w:pPr>
              <w:spacing w:line="276" w:lineRule="auto"/>
            </w:pPr>
            <w:r>
              <w:t>0.230</w:t>
            </w:r>
          </w:p>
        </w:tc>
        <w:tc>
          <w:tcPr>
            <w:tcW w:type="dxa" w:w="960"/>
          </w:tcPr>
          <w:p>
            <w:pPr>
              <w:spacing w:line="276" w:lineRule="auto"/>
            </w:pPr>
            <w:r>
              <w:t>0.145</w:t>
            </w:r>
          </w:p>
        </w:tc>
        <w:tc>
          <w:tcPr>
            <w:tcW w:type="dxa" w:w="960"/>
          </w:tcPr>
          <w:p>
            <w:pPr>
              <w:spacing w:line="276" w:lineRule="auto"/>
            </w:pPr>
            <w:r>
              <w:t>0.01464</w:t>
            </w:r>
          </w:p>
        </w:tc>
        <w:tc>
          <w:tcPr>
            <w:tcW w:type="dxa" w:w="960"/>
          </w:tcPr>
          <w:p>
            <w:pPr>
              <w:spacing w:line="276" w:lineRule="auto"/>
            </w:pPr>
            <w:r>
              <w:t>0.00189</w:t>
            </w:r>
          </w:p>
        </w:tc>
        <w:tc>
          <w:tcPr>
            <w:tcW w:type="dxa" w:w="960"/>
          </w:tcPr>
          <w:p>
            <w:pPr>
              <w:spacing w:line="276" w:lineRule="auto"/>
            </w:pPr>
            <w:r>
              <w:t>0.272</w:t>
            </w:r>
          </w:p>
        </w:tc>
        <w:tc>
          <w:tcPr>
            <w:tcW w:type="dxa" w:w="960"/>
          </w:tcPr>
          <w:p>
            <w:pPr>
              <w:spacing w:line="276" w:lineRule="auto"/>
            </w:pPr>
            <w:r>
              <w:t>0.064</w:t>
            </w:r>
          </w:p>
        </w:tc>
      </w:tr>
      <w:tr>
        <w:tc>
          <w:tcPr>
            <w:tcW w:type="dxa" w:w="960"/>
          </w:tcPr>
          <w:p>
            <w:pPr>
              <w:spacing w:line="276" w:lineRule="auto"/>
            </w:pPr>
            <w:r>
              <w:t>2B_clustering</w:t>
            </w:r>
          </w:p>
        </w:tc>
        <w:tc>
          <w:tcPr>
            <w:tcW w:type="dxa" w:w="960"/>
          </w:tcPr>
          <w:p>
            <w:pPr>
              <w:spacing w:line="276" w:lineRule="auto"/>
            </w:pPr>
            <w:r>
              <w:t>0.01684</w:t>
            </w:r>
          </w:p>
        </w:tc>
        <w:tc>
          <w:tcPr>
            <w:tcW w:type="dxa" w:w="960"/>
          </w:tcPr>
          <w:p>
            <w:pPr>
              <w:spacing w:line="276" w:lineRule="auto"/>
            </w:pPr>
            <w:r>
              <w:t>0.00270</w:t>
            </w:r>
          </w:p>
        </w:tc>
        <w:tc>
          <w:tcPr>
            <w:tcW w:type="dxa" w:w="960"/>
          </w:tcPr>
          <w:p>
            <w:pPr>
              <w:spacing w:line="276" w:lineRule="auto"/>
            </w:pPr>
            <w:r>
              <w:t>0.056</w:t>
            </w:r>
          </w:p>
        </w:tc>
        <w:tc>
          <w:tcPr>
            <w:tcW w:type="dxa" w:w="960"/>
          </w:tcPr>
          <w:p>
            <w:pPr>
              <w:spacing w:line="276" w:lineRule="auto"/>
            </w:pPr>
            <w:r>
              <w:t>0.159</w:t>
            </w:r>
          </w:p>
        </w:tc>
        <w:tc>
          <w:tcPr>
            <w:tcW w:type="dxa" w:w="960"/>
          </w:tcPr>
          <w:p>
            <w:pPr>
              <w:spacing w:line="276" w:lineRule="auto"/>
            </w:pPr>
            <w:r>
              <w:t>0.01773</w:t>
            </w:r>
          </w:p>
        </w:tc>
        <w:tc>
          <w:tcPr>
            <w:tcW w:type="dxa" w:w="960"/>
          </w:tcPr>
          <w:p>
            <w:pPr>
              <w:spacing w:line="276" w:lineRule="auto"/>
            </w:pPr>
            <w:r>
              <w:t>0.00200</w:t>
            </w:r>
          </w:p>
        </w:tc>
        <w:tc>
          <w:tcPr>
            <w:tcW w:type="dxa" w:w="960"/>
          </w:tcPr>
          <w:p>
            <w:pPr>
              <w:spacing w:line="276" w:lineRule="auto"/>
            </w:pPr>
            <w:r>
              <w:t>0.118</w:t>
            </w:r>
          </w:p>
        </w:tc>
        <w:tc>
          <w:tcPr>
            <w:tcW w:type="dxa" w:w="960"/>
          </w:tcPr>
          <w:p>
            <w:pPr>
              <w:spacing w:line="276" w:lineRule="auto"/>
            </w:pPr>
            <w:r>
              <w:t>0.064</w:t>
            </w:r>
          </w:p>
        </w:tc>
      </w:tr>
    </w:tbl>
    <w:p>
      <w:pPr>
        <w:spacing w:before="240" w:line="480" w:lineRule="auto"/>
      </w:pPr>
      <w:r/>
      <w:r>
        <w:rPr>
          <w:i/>
        </w:rPr>
        <w:t>Table 3. Linear versus non-linear Z-to-X mapping: random-effects ATE bias and relative bias reduction (n=2000, K=5, z=1.0, zx=1.0).</w:t>
      </w:r>
      <w:r/>
    </w:p>
    <w:p>
      <w:pPr>
        <w:spacing w:line="480" w:lineRule="auto"/>
      </w:pPr>
      <w:r>
        <w:t>Figure 5 shows random-effects ATE bias reduction under the non-linear mapping.</w:t>
      </w:r>
    </w:p>
    <w:p>
      <w:pPr>
        <w:spacing w:after="120" w:line="480" w:lineRule="auto"/>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line="480" w:lineRule="auto"/>
        <w:jc w:val="center"/>
      </w:pPr>
      <w:r>
        <w:rPr>
          <w:b/>
        </w:rPr>
        <w:t>Figure 5. Non-linear Z-&gt;X robustness: random-effects ATE bias reduction (n=2000, K=5).</w:t>
      </w:r>
    </w:p>
    <w:p>
      <w:pPr>
        <w:pStyle w:val="Heading2"/>
        <w:spacing w:line="480" w:lineRule="auto"/>
      </w:pPr>
      <w:r>
        <w:t>Diagnostic discrimination against the empirical null</w:t>
      </w:r>
    </w:p>
    <w:p>
      <w:pPr>
        <w:spacing w:line="480" w:lineRule="auto"/>
      </w:pPr>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show that the lower-tail null threshold does not match the direction of the alternative DGM shift for those methods. Supplementary Table S5 reports the empirical null percentiles used as thresholds.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S7 reports absolute-deviation scores using distance from the empirical null mean (e.g. residual C1 abs-AUC 0.473); these did not rescue discrimination, indicating that the weak ROC performance is structural rather than an artifact of the one-sided lower-tail threshold.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76" w:lineRule="auto"/>
            </w:pPr>
            <w:r>
              <w:rPr>
                <w:b/>
              </w:rPr>
              <w:t>Method</w:t>
            </w:r>
          </w:p>
        </w:tc>
        <w:tc>
          <w:tcPr>
            <w:tcW w:type="dxa" w:w="1728"/>
          </w:tcPr>
          <w:p>
            <w:pPr>
              <w:spacing w:line="276" w:lineRule="auto"/>
            </w:pPr>
            <w:r>
              <w:rPr>
                <w:b/>
              </w:rPr>
              <w:t>C1 AUC</w:t>
            </w:r>
          </w:p>
        </w:tc>
        <w:tc>
          <w:tcPr>
            <w:tcW w:type="dxa" w:w="1728"/>
          </w:tcPr>
          <w:p>
            <w:pPr>
              <w:spacing w:line="276" w:lineRule="auto"/>
            </w:pPr>
            <w:r>
              <w:rPr>
                <w:b/>
              </w:rPr>
              <w:t>C1 TPR@5% FPR</w:t>
            </w:r>
          </w:p>
        </w:tc>
        <w:tc>
          <w:tcPr>
            <w:tcW w:type="dxa" w:w="1728"/>
          </w:tcPr>
          <w:p>
            <w:pPr>
              <w:spacing w:line="276" w:lineRule="auto"/>
            </w:pPr>
            <m:oMath>
              <m:sSub>
                <m:e>
                  <m:r>
                    <m:t xml:space="preserve">W</m:t>
                  </m:r>
                </m:e>
                <m:sub>
                  <m:r>
                    <m:t xml:space="preserve">est</m:t>
                  </m:r>
                </m:sub>
              </m:sSub>
            </m:oMath>
            <w:r>
              <w:rPr>
                <w:b/>
              </w:rPr>
              <w:t xml:space="preserve"> AUC</w:t>
            </w:r>
          </w:p>
        </w:tc>
        <w:tc>
          <w:tcPr>
            <w:tcW w:type="dxa" w:w="1728"/>
          </w:tcPr>
          <w:p>
            <w:pPr>
              <w:spacing w:line="276" w:lineRule="auto"/>
            </w:pPr>
            <m:oMath>
              <m:sSub>
                <m:e>
                  <m:r>
                    <m:t xml:space="preserve">W</m:t>
                  </m:r>
                </m:e>
                <m:sub>
                  <m:r>
                    <m:t xml:space="preserve">est</m:t>
                  </m:r>
                </m:sub>
              </m:sSub>
            </m:oMath>
            <w:r>
              <w:rPr>
                <w:b/>
              </w:rPr>
              <w:t xml:space="preserve"> TPR@5% FPR</w:t>
            </w:r>
          </w:p>
        </w:tc>
      </w:tr>
      <w:tr>
        <w:tc>
          <w:tcPr>
            <w:tcW w:type="dxa" w:w="1728"/>
          </w:tcPr>
          <w:p>
            <w:pPr>
              <w:spacing w:line="276" w:lineRule="auto"/>
            </w:pPr>
            <w:r>
              <w:t>1A_predicted_prob</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1B_residual</w:t>
            </w:r>
          </w:p>
        </w:tc>
        <w:tc>
          <w:tcPr>
            <w:tcW w:type="dxa" w:w="1728"/>
          </w:tcPr>
          <w:p>
            <w:pPr>
              <w:spacing w:line="276" w:lineRule="auto"/>
            </w:pPr>
            <w:r>
              <w:t>0.460</w:t>
            </w:r>
          </w:p>
        </w:tc>
        <w:tc>
          <w:tcPr>
            <w:tcW w:type="dxa" w:w="1728"/>
          </w:tcPr>
          <w:p>
            <w:pPr>
              <w:spacing w:line="276" w:lineRule="auto"/>
            </w:pPr>
            <w:r>
              <w:t>0.060</w:t>
            </w:r>
          </w:p>
        </w:tc>
        <w:tc>
          <w:tcPr>
            <w:tcW w:type="dxa" w:w="1728"/>
          </w:tcPr>
          <w:p>
            <w:pPr>
              <w:spacing w:line="276" w:lineRule="auto"/>
            </w:pPr>
            <w:r>
              <w:t>0.542</w:t>
            </w:r>
          </w:p>
        </w:tc>
        <w:tc>
          <w:tcPr>
            <w:tcW w:type="dxa" w:w="1728"/>
          </w:tcPr>
          <w:p>
            <w:pPr>
              <w:spacing w:line="276" w:lineRule="auto"/>
            </w:pPr>
            <w:r>
              <w:t>0.060</w:t>
            </w:r>
          </w:p>
        </w:tc>
      </w:tr>
      <w:tr>
        <w:tc>
          <w:tcPr>
            <w:tcW w:type="dxa" w:w="1728"/>
          </w:tcPr>
          <w:p>
            <w:pPr>
              <w:spacing w:line="276" w:lineRule="auto"/>
            </w:pPr>
            <w:r>
              <w:t>1C_cv_decision</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2A_PCA_cum60</w:t>
            </w:r>
          </w:p>
        </w:tc>
        <w:tc>
          <w:tcPr>
            <w:tcW w:type="dxa" w:w="1728"/>
          </w:tcPr>
          <w:p>
            <w:pPr>
              <w:spacing w:line="276" w:lineRule="auto"/>
            </w:pPr>
            <w:r>
              <w:t>0.464</w:t>
            </w:r>
          </w:p>
        </w:tc>
        <w:tc>
          <w:tcPr>
            <w:tcW w:type="dxa" w:w="1728"/>
          </w:tcPr>
          <w:p>
            <w:pPr>
              <w:spacing w:line="276" w:lineRule="auto"/>
            </w:pPr>
            <w:r>
              <w:t>0.060</w:t>
            </w:r>
          </w:p>
        </w:tc>
        <w:tc>
          <w:tcPr>
            <w:tcW w:type="dxa" w:w="1728"/>
          </w:tcPr>
          <w:p>
            <w:pPr>
              <w:spacing w:line="276" w:lineRule="auto"/>
            </w:pPr>
            <w:r>
              <w:t>0.490</w:t>
            </w:r>
          </w:p>
        </w:tc>
        <w:tc>
          <w:tcPr>
            <w:tcW w:type="dxa" w:w="1728"/>
          </w:tcPr>
          <w:p>
            <w:pPr>
              <w:spacing w:line="276" w:lineRule="auto"/>
            </w:pPr>
            <w:r>
              <w:t>0.060</w:t>
            </w:r>
          </w:p>
        </w:tc>
      </w:tr>
      <w:tr>
        <w:tc>
          <w:tcPr>
            <w:tcW w:type="dxa" w:w="1728"/>
          </w:tcPr>
          <w:p>
            <w:pPr>
              <w:spacing w:line="276" w:lineRule="auto"/>
            </w:pPr>
            <w:r>
              <w:t>2B_clustering</w:t>
            </w:r>
          </w:p>
        </w:tc>
        <w:tc>
          <w:tcPr>
            <w:tcW w:type="dxa" w:w="1728"/>
          </w:tcPr>
          <w:p>
            <w:pPr>
              <w:spacing w:line="276" w:lineRule="auto"/>
            </w:pPr>
            <w:r>
              <w:t>0.545</w:t>
            </w:r>
          </w:p>
        </w:tc>
        <w:tc>
          <w:tcPr>
            <w:tcW w:type="dxa" w:w="1728"/>
          </w:tcPr>
          <w:p>
            <w:pPr>
              <w:spacing w:line="276" w:lineRule="auto"/>
            </w:pPr>
            <w:r>
              <w:t>0.020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GMM</w:t>
            </w:r>
          </w:p>
        </w:tc>
        <w:tc>
          <w:tcPr>
            <w:tcW w:type="dxa" w:w="1728"/>
          </w:tcPr>
          <w:p>
            <w:pPr>
              <w:spacing w:line="276" w:lineRule="auto"/>
            </w:pPr>
            <w:r>
              <w:t>0.489</w:t>
            </w:r>
          </w:p>
        </w:tc>
        <w:tc>
          <w:tcPr>
            <w:tcW w:type="dxa" w:w="1728"/>
          </w:tcPr>
          <w:p>
            <w:pPr>
              <w:spacing w:line="276" w:lineRule="auto"/>
            </w:pPr>
            <w:r>
              <w:t>0.060</w:t>
            </w:r>
          </w:p>
        </w:tc>
        <w:tc>
          <w:tcPr>
            <w:tcW w:type="dxa" w:w="1728"/>
          </w:tcPr>
          <w:p>
            <w:pPr>
              <w:spacing w:line="276" w:lineRule="auto"/>
            </w:pPr>
            <w:r>
              <w:t>0.561</w:t>
            </w:r>
          </w:p>
        </w:tc>
        <w:tc>
          <w:tcPr>
            <w:tcW w:type="dxa" w:w="1728"/>
          </w:tcPr>
          <w:p>
            <w:pPr>
              <w:spacing w:line="276" w:lineRule="auto"/>
            </w:pPr>
            <w:r>
              <w:t>0.080</w:t>
            </w:r>
          </w:p>
        </w:tc>
      </w:tr>
      <w:tr>
        <w:tc>
          <w:tcPr>
            <w:tcW w:type="dxa" w:w="1728"/>
          </w:tcPr>
          <w:p>
            <w:pPr>
              <w:spacing w:line="276" w:lineRule="auto"/>
            </w:pPr>
            <w:r>
              <w:t>PS_propensity_score</w:t>
            </w:r>
          </w:p>
        </w:tc>
        <w:tc>
          <w:tcPr>
            <w:tcW w:type="dxa" w:w="1728"/>
          </w:tcPr>
          <w:p>
            <w:pPr>
              <w:spacing w:line="276" w:lineRule="auto"/>
            </w:pPr>
            <w:r>
              <w:t>0.481</w:t>
            </w:r>
          </w:p>
        </w:tc>
        <w:tc>
          <w:tcPr>
            <w:tcW w:type="dxa" w:w="1728"/>
          </w:tcPr>
          <w:p>
            <w:pPr>
              <w:spacing w:line="276" w:lineRule="auto"/>
            </w:pPr>
            <w:r>
              <w:t>0.060</w:t>
            </w:r>
          </w:p>
        </w:tc>
        <w:tc>
          <w:tcPr>
            <w:tcW w:type="dxa" w:w="1728"/>
          </w:tcPr>
          <w:p>
            <w:pPr>
              <w:spacing w:line="276" w:lineRule="auto"/>
            </w:pPr>
            <w:r>
              <w:t>0.494</w:t>
            </w:r>
          </w:p>
        </w:tc>
        <w:tc>
          <w:tcPr>
            <w:tcW w:type="dxa" w:w="1728"/>
          </w:tcPr>
          <w:p>
            <w:pPr>
              <w:spacing w:line="276" w:lineRule="auto"/>
            </w:pPr>
            <w:r>
              <w:t>0.020</w:t>
            </w:r>
          </w:p>
        </w:tc>
      </w:tr>
      <w:tr>
        <w:tc>
          <w:tcPr>
            <w:tcW w:type="dxa" w:w="1728"/>
          </w:tcPr>
          <w:p>
            <w:pPr>
              <w:spacing w:line="276" w:lineRule="auto"/>
            </w:pPr>
            <w:r>
              <w:t>Prognostic_score</w:t>
            </w:r>
          </w:p>
        </w:tc>
        <w:tc>
          <w:tcPr>
            <w:tcW w:type="dxa" w:w="1728"/>
          </w:tcPr>
          <w:p>
            <w:pPr>
              <w:spacing w:line="276" w:lineRule="auto"/>
            </w:pPr>
            <w:r>
              <w:t>0.520</w:t>
            </w:r>
          </w:p>
        </w:tc>
        <w:tc>
          <w:tcPr>
            <w:tcW w:type="dxa" w:w="1728"/>
          </w:tcPr>
          <w:p>
            <w:pPr>
              <w:spacing w:line="276" w:lineRule="auto"/>
            </w:pPr>
            <w:r>
              <w:t>0.020</w:t>
            </w:r>
          </w:p>
        </w:tc>
        <w:tc>
          <w:tcPr>
            <w:tcW w:type="dxa" w:w="1728"/>
          </w:tcPr>
          <w:p>
            <w:pPr>
              <w:spacing w:line="276" w:lineRule="auto"/>
            </w:pPr>
            <w:r>
              <w:t>0.528</w:t>
            </w:r>
          </w:p>
        </w:tc>
        <w:tc>
          <w:tcPr>
            <w:tcW w:type="dxa" w:w="1728"/>
          </w:tcPr>
          <w:p>
            <w:pPr>
              <w:spacing w:line="276" w:lineRule="auto"/>
            </w:pPr>
            <w:r>
              <w:t>0.040</w:t>
            </w:r>
          </w:p>
        </w:tc>
      </w:tr>
      <w:tr>
        <w:tc>
          <w:tcPr>
            <w:tcW w:type="dxa" w:w="1728"/>
          </w:tcPr>
          <w:p>
            <w:pPr>
              <w:spacing w:line="276" w:lineRule="auto"/>
            </w:pPr>
            <w:r>
              <w:t>baseline_oracle_kmeans</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0.506</w:t>
            </w:r>
          </w:p>
        </w:tc>
        <w:tc>
          <w:tcPr>
            <w:tcW w:type="dxa" w:w="1728"/>
          </w:tcPr>
          <w:p>
            <w:pPr>
              <w:spacing w:line="276" w:lineRule="auto"/>
            </w:pPr>
            <w:r>
              <w:t>0.040</w:t>
            </w:r>
          </w:p>
        </w:tc>
      </w:tr>
      <w:tr>
        <w:tc>
          <w:tcPr>
            <w:tcW w:type="dxa" w:w="1728"/>
          </w:tcPr>
          <w:p>
            <w:pPr>
              <w:spacing w:line="276" w:lineRule="auto"/>
            </w:pPr>
            <w:r>
              <w:t>baseline_oracle_quantile</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baseline_random</w:t>
            </w:r>
          </w:p>
        </w:tc>
        <w:tc>
          <w:tcPr>
            <w:tcW w:type="dxa" w:w="1728"/>
          </w:tcPr>
          <w:p>
            <w:pPr>
              <w:spacing w:line="276" w:lineRule="auto"/>
            </w:pPr>
            <w:r>
              <w:t>0.544</w:t>
            </w:r>
          </w:p>
        </w:tc>
        <w:tc>
          <w:tcPr>
            <w:tcW w:type="dxa" w:w="1728"/>
          </w:tcPr>
          <w:p>
            <w:pPr>
              <w:spacing w:line="276" w:lineRule="auto"/>
            </w:pPr>
            <w:r>
              <w:t>0.040</w:t>
            </w:r>
          </w:p>
        </w:tc>
        <w:tc>
          <w:tcPr>
            <w:tcW w:type="dxa" w:w="1728"/>
          </w:tcPr>
          <w:p>
            <w:pPr>
              <w:spacing w:line="276" w:lineRule="auto"/>
            </w:pPr>
            <w:r>
              <w:t>0.427</w:t>
            </w:r>
          </w:p>
        </w:tc>
        <w:tc>
          <w:tcPr>
            <w:tcW w:type="dxa" w:w="1728"/>
          </w:tcPr>
          <w:p>
            <w:pPr>
              <w:spacing w:line="276" w:lineRule="auto"/>
            </w:pPr>
            <w:r>
              <w:t>0.040</w:t>
            </w:r>
          </w:p>
        </w:tc>
      </w:tr>
    </w:tbl>
    <w:p>
      <w:pPr>
        <w:spacing w:before="240" w:line="480" w:lineRule="auto"/>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line="480" w:lineRule="auto"/>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w:t>
      </w:r>
    </w:p>
    <w:p>
      <w:pPr>
        <w:pStyle w:val="Heading2"/>
        <w:spacing w:line="480" w:lineRule="auto"/>
      </w:pPr>
      <w:r>
        <w:t>CATE variance explained</w:t>
      </w:r>
    </w:p>
    <w:p>
      <w:pPr>
        <w:spacing w:line="480" w:lineRule="auto"/>
      </w:pPr>
      <w:r>
        <w:t xml:space="preserve">Figure 7 shows CATE variance explained (eta^2,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eta^2,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shows that the residual and predicted-probability models capture only part of the true CATE variation.</w:t>
      </w:r>
    </w:p>
    <w:p>
      <w:pPr>
        <w:spacing w:after="120" w:line="480" w:lineRule="auto"/>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7. CATE variance explained (eta^2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spacing w:line="480" w:lineRule="auto"/>
      </w:pPr>
      <w:r>
        <w:t xml:space="preserve">Empirical null distribution and </w:t>
      </w:r>
      <m:oMath>
        <m:sSub>
          <m:e>
            <m:r>
              <m:t xml:space="preserve">W</m:t>
            </m:r>
          </m:e>
          <m:sub>
            <m:r>
              <m:t xml:space="preserve">est</m:t>
            </m:r>
          </m:sub>
        </m:sSub>
      </m:oMath>
      <w:r>
        <w:t xml:space="preserve"> misspecification</w:t>
      </w:r>
    </w:p>
    <w:p>
      <w:pPr>
        <w:spacing w:line="480" w:lineRule="auto"/>
      </w:pPr>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spacing w:line="480" w:lineRule="auto"/>
      </w:pPr>
      <w:r>
        <w:t>4. Discussion</w:t>
      </w:r>
    </w:p>
    <w:p>
      <w:pPr>
        <w:pStyle w:val="Heading2"/>
        <w:spacing w:line="480" w:lineRule="auto"/>
      </w:pPr>
      <w:r>
        <w:t>Principal findings</w:t>
      </w:r>
    </w:p>
    <w:p>
      <w:pPr>
        <w:spacing w:line="480" w:lineRule="auto"/>
      </w:pPr>
      <w:r>
        <w:t xml:space="preserve">This study frames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constructed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spacing w:line="480" w:lineRule="auto"/>
      </w:pPr>
      <w:r>
        <w:t>Detection versus subgroup recovery</w:t>
      </w:r>
    </w:p>
    <w:p>
      <w:pPr>
        <w:spacing w:line="480" w:lineRule="auto"/>
      </w:pPr>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spacing w:line="480" w:lineRule="auto"/>
      </w:pPr>
      <w:r>
        <w:t>Comparison with study-level and covariate-adjustment approaches</w:t>
      </w:r>
    </w:p>
    <w:p>
      <w:pPr>
        <w:spacing w:line="480" w:lineRule="auto"/>
      </w:pPr>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spacing w:line="480" w:lineRule="auto"/>
      </w:pPr>
      <w:r>
        <w:t>W denominator and misspecification</w:t>
      </w:r>
    </w:p>
    <w:p>
      <w:pPr>
        <w:spacing w:line="480" w:lineRule="auto"/>
      </w:pPr>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(C1_excess, </w:t>
      </w:r>
      <m:oMath>
        <m:sSub>
          <m:e>
            <m:r>
              <m:t xml:space="preserve">W</m:t>
            </m:r>
          </m:e>
          <m:sub>
            <m:r>
              <m:t xml:space="preserve">true</m:t>
            </m:r>
          </m:sub>
        </m:sSub>
      </m:oMath>
      <w:r>
        <w:t xml:space="preserve">_excess, </w:t>
      </w:r>
      <m:oMath>
        <m:sSub>
          <m:e>
            <m:r>
              <m:t xml:space="preserve">W</m:t>
            </m:r>
          </m:e>
          <m:sub>
            <m:r>
              <m:t xml:space="preserve">est</m:t>
            </m:r>
          </m:sub>
        </m:sSub>
      </m:oMath>
      <w:r>
        <w:t xml:space="preserve">_excess).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spacing w:line="480" w:lineRule="auto"/>
      </w:pPr>
      <w:r>
        <w:t>Large-sample behaviour</w:t>
      </w:r>
    </w:p>
    <w:p>
      <w:pPr>
        <w:spacing w:line="480" w:lineRule="auto"/>
      </w:pPr>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spacing w:line="480" w:lineRule="auto"/>
      </w:pPr>
      <w:r>
        <w:t>Relevance to SMMR readers</w:t>
      </w:r>
    </w:p>
    <w:p>
      <w:pPr>
        <w:spacing w:line="480" w:lineRule="auto"/>
      </w:pPr>
      <w:r>
        <w:t xml:space="preserve">IONE sits between heterogeneity diagnostics and model-based effect modification in medical research. C1 re-purposes the </w:t>
      </w:r>
      <m:oMath>
        <m:sSup>
          <m:e>
            <m:r>
              <m:t xml:space="preserve">I</m:t>
            </m:r>
          </m:e>
          <m:sup>
            <m:r>
              <m:t xml:space="preserve">2</m:t>
            </m:r>
          </m:sup>
        </m:sSup>
      </m:oMath>
      <w:r>
        <w:t xml:space="preserve"> statistic for discovered strata and W connects a partition to explained CATE variance.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IONE is best reported alongside conventional IPD meta-analysis and covariate adjustment, with standard adjustment applied within strata.</w:t>
      </w:r>
    </w:p>
    <w:p>
      <w:pPr>
        <w:pStyle w:val="Heading2"/>
        <w:spacing w:line="480" w:lineRule="auto"/>
      </w:pPr>
      <w:r>
        <w:t>Strengths and limitations</w:t>
      </w:r>
    </w:p>
    <w:p>
      <w:pPr>
        <w:spacing w:line="480" w:lineRule="auto"/>
      </w:pPr>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line="480" w:lineRule="auto"/>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spacing w:line="480" w:lineRule="auto"/>
      </w:pPr>
      <w:r>
        <w:t>5. Conclusions</w:t>
      </w:r>
    </w:p>
    <w:p>
      <w:pPr>
        <w:spacing w:line="480" w:lineRule="auto"/>
      </w:pPr>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Conventional meta-analytic models and covariate adjustment should remain the primary analysis; C1 and W should be reported alongside them as sensitivity checks. Two concrete recommendations follow: (1) use C1 and W only as descriptive flags, not as inferential tests for hidden effect modification, and (2) pre-specify potential effect modifiers and reserve data-driven stratification for exploratory sensitivity analyses, not for decision-making.</w:t>
      </w:r>
    </w:p>
    <w:p>
      <w:pPr>
        <w:spacing w:line="480" w:lineRule="auto"/>
      </w:pPr>
      <w:r>
        <w:br w:type="page"/>
      </w:r>
    </w:p>
    <w:p>
      <w:pPr>
        <w:pStyle w:val="Heading1"/>
        <w:spacing w:line="480" w:lineRule="auto"/>
      </w:pPr>
      <w:r>
        <w:t>Declarations</w:t>
      </w:r>
    </w:p>
    <w:p>
      <w:pPr>
        <w:pStyle w:val="Heading2"/>
        <w:spacing w:line="480" w:lineRule="auto"/>
      </w:pPr>
      <w:r>
        <w:t>Ethics approval and consent to participate</w:t>
      </w:r>
    </w:p>
    <w:p>
      <w:pPr>
        <w:spacing w:line="480" w:lineRule="auto"/>
      </w:pPr>
      <w:r>
        <w:t>Not applicable. This study used simulated data and publicly available aggregate statistics only.</w:t>
      </w:r>
    </w:p>
    <w:p>
      <w:pPr>
        <w:pStyle w:val="Heading2"/>
        <w:spacing w:line="480" w:lineRule="auto"/>
      </w:pPr>
      <w:r>
        <w:t>Consent for publication</w:t>
      </w:r>
    </w:p>
    <w:p>
      <w:pPr>
        <w:spacing w:line="480" w:lineRule="auto"/>
      </w:pPr>
      <w:r>
        <w:t>Not applicable.</w:t>
      </w:r>
    </w:p>
    <w:p>
      <w:pPr>
        <w:pStyle w:val="Heading2"/>
        <w:spacing w:line="480" w:lineRule="auto"/>
      </w:pPr>
      <w:r>
        <w:t>Availability of data and materials</w:t>
      </w:r>
    </w:p>
    <w:p>
      <w:pPr>
        <w:spacing w:line="480" w:lineRule="auto"/>
      </w:pPr>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spacing w:line="480" w:lineRule="auto"/>
      </w:pPr>
      <w:r>
        <w:t>Competing interests</w:t>
      </w:r>
    </w:p>
    <w:p>
      <w:pPr>
        <w:spacing w:line="480" w:lineRule="auto"/>
      </w:pPr>
      <w:r>
        <w:t>The authors declare that they have no competing interests.</w:t>
      </w:r>
    </w:p>
    <w:p>
      <w:pPr>
        <w:pStyle w:val="Heading2"/>
        <w:spacing w:line="480" w:lineRule="auto"/>
      </w:pPr>
      <w:r>
        <w:t>Funding</w:t>
      </w:r>
    </w:p>
    <w:p>
      <w:pPr>
        <w:spacing w:line="480" w:lineRule="auto"/>
      </w:pPr>
      <w:r>
        <w:t>No external funding supported this work.</w:t>
      </w:r>
    </w:p>
    <w:p>
      <w:pPr>
        <w:pStyle w:val="Heading2"/>
        <w:spacing w:line="480" w:lineRule="auto"/>
      </w:pPr>
      <w:r>
        <w:t>Authors' contributions (CRediT taxonomy)</w:t>
      </w:r>
    </w:p>
    <w:p>
      <w:pPr>
        <w:spacing w:line="480" w:lineRule="auto"/>
      </w:pPr>
      <w:r>
        <w:t>Onishi Tatsuki: Conceptualisation, methodology, software, formal analysis, writing – original draft, writing – review and editing, visualisation.</w:t>
      </w:r>
    </w:p>
    <w:p>
      <w:pPr>
        <w:pStyle w:val="Heading2"/>
        <w:spacing w:line="480" w:lineRule="auto"/>
      </w:pPr>
      <w:r>
        <w:t>Acknowledgements</w:t>
      </w:r>
    </w:p>
    <w:p>
      <w:pPr>
        <w:spacing w:line="480" w:lineRule="auto"/>
      </w:pPr>
      <w:r>
        <w:t>Not applicable.</w:t>
      </w:r>
    </w:p>
    <w:p>
      <w:pPr>
        <w:pStyle w:val="Heading2"/>
        <w:spacing w:line="480" w:lineRule="auto"/>
      </w:pPr>
      <w:r>
        <w:t>Supplementary materials</w:t>
      </w:r>
    </w:p>
    <w:p>
      <w:pPr>
        <w:spacing w:line="480" w:lineRule="auto"/>
      </w:pPr>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smmr_supplementary_v1.docx</w:t>
      </w:r>
      <w:r>
        <w:t>.</w:t>
      </w:r>
    </w:p>
    <w:p>
      <w:pPr>
        <w:pStyle w:val="Heading2"/>
        <w:spacing w:line="480" w:lineRule="auto"/>
      </w:pPr>
      <w:r>
        <w:t>Artificial intelligence</w:t>
      </w:r>
    </w:p>
    <w:p>
      <w:pPr>
        <w:spacing w:line="480" w:lineRule="auto"/>
      </w:pPr>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pPr>
        <w:spacing w:line="480" w:lineRule="auto"/>
      </w:pPr>
      <w:r>
        <w:br w:type="page"/>
      </w:r>
    </w:p>
    <w:p>
      <w:pPr>
        <w:pStyle w:val="Heading1"/>
        <w:spacing w:line="480" w:lineRule="auto"/>
      </w:pPr>
      <w:r>
        <w:t>References</w:t>
      </w:r>
    </w:p>
    <w:p>
      <w:pPr>
        <w:spacing w:line="480" w:lineRule="auto"/>
      </w:pPr>
      <w:r>
        <w:t>1. Borenstein M, Hedges LV, Higgins JPT, Rothstein HR. Introduction to Meta-Analysis. Chichester: John Wiley &amp; Sons; 2009.</w:t>
      </w:r>
    </w:p>
    <w:p>
      <w:pPr>
        <w:spacing w:line="480" w:lineRule="auto"/>
      </w:pPr>
      <w:r>
        <w:t>2. Riley RD, Lambert PC, Abo-Zaid G. Meta-analysis of individual participant data: rationale, conduct, and reporting. BMJ. 2010;340:c221.</w:t>
      </w:r>
    </w:p>
    <w:p>
      <w:pPr>
        <w:spacing w:line="480" w:lineRule="auto"/>
      </w:pPr>
      <w:r>
        <w:t>3. Simmonds MC, Higgins JPT, Stewart LA, Tierney JF, Clarke MJ, Thompson SG. Meta-analysis of individual patient data from randomized trials: a review of methods used in practice. Clin Trials. 2005;2(3):209–217.</w:t>
      </w:r>
    </w:p>
    <w:p>
      <w:pPr>
        <w:spacing w:line="480" w:lineRule="auto"/>
      </w:pPr>
      <w:r>
        <w:t>4. DerSimonian R, Laird N. Meta-analysis in clinical trials. Control Clin Trials. 1986;7(3):177–188.</w:t>
      </w:r>
    </w:p>
    <w:p>
      <w:pPr>
        <w:spacing w:line="480" w:lineRule="auto"/>
      </w:pPr>
      <w:r>
        <w:t>5. Higgins JPT, Thompson SG. Quantifying heterogeneity in a meta-analysis. Stat Med. 2002;21(11):1539–1558.</w:t>
      </w:r>
    </w:p>
    <w:p>
      <w:pPr>
        <w:spacing w:line="480" w:lineRule="auto"/>
      </w:pPr>
      <w:r>
        <w:t>6. Riley RD, Higgins JPT, Deeks JJ. Interpretation of random effects meta-analyses. BMJ. 2011;342:d549.</w:t>
      </w:r>
    </w:p>
    <w:p>
      <w:pPr>
        <w:spacing w:line="480" w:lineRule="auto"/>
      </w:pPr>
      <w:r>
        <w:t>7. Pearl J. Causality. 2nd ed. Cambridge: Cambridge University Press; 2009.</w:t>
      </w:r>
    </w:p>
    <w:p>
      <w:pPr>
        <w:spacing w:line="480" w:lineRule="auto"/>
      </w:pPr>
      <w:r>
        <w:t>8. Greenland S, Robins JM, Pearl J. Confounding and collapsibility in causal inference. Stat Sci. 1999;14(1):29–46.</w:t>
      </w:r>
    </w:p>
    <w:p>
      <w:pPr>
        <w:spacing w:line="480" w:lineRule="auto"/>
      </w:pPr>
      <w:r>
        <w:t>9. Simpson EH. The interpretation of interaction in contingency tables. J R Stat Soc Ser B. 1951;13(2):238–241.</w:t>
      </w:r>
    </w:p>
    <w:p>
      <w:pPr>
        <w:spacing w:line="480" w:lineRule="auto"/>
      </w:pPr>
      <w:r>
        <w:t>10. Rojanaworarit C. Misleading epidemiological and statistical evidence in the presence of Simpson's paradox: an illustrative study using simulated scenarios. J Med Life. 2020;13(1):37–44.</w:t>
      </w:r>
    </w:p>
    <w:p>
      <w:pPr>
        <w:spacing w:line="480" w:lineRule="auto"/>
      </w:pPr>
      <w:r>
        <w:t>11. Charig CR, Webb DR, Payne SR, Wickham JE. Comparison of treatment of renal calculi by open surgery, percutaneous nephrolithotomy, and extracorporeal shockwave lithotripsy. BMJ. 1986;292(6521):879–882.</w:t>
      </w:r>
    </w:p>
    <w:p>
      <w:pPr>
        <w:spacing w:line="480" w:lineRule="auto"/>
      </w:pPr>
      <w:r>
        <w:t>12. Bickel PJ, Hammel EA, O'Connell JW. Sex bias in graduate admissions: data from Berkeley. Science. 1975;187(4175):398–404.</w:t>
      </w:r>
    </w:p>
    <w:p>
      <w:pPr>
        <w:spacing w:line="480" w:lineRule="auto"/>
      </w:pPr>
      <w:r>
        <w:t>13. von Kügelgen J, Gresele L, Schölkopf B. Simpson's paradox in Covid-19 case fatality rates: a mediation analysis of age-related causal effects. IEEE Trans Artif Intell. 2021;2(1):18–27.</w:t>
      </w:r>
    </w:p>
    <w:p>
      <w:pPr>
        <w:spacing w:line="480" w:lineRule="auto"/>
      </w:pPr>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pPr>
        <w:spacing w:line="480" w:lineRule="auto"/>
      </w:pPr>
      <w:r>
        <w:t>15. Appleton DR, French NR, Vanderpump MP. Ignoring a covariate: an example of Simpson's paradox. Am Stat. 1996;50(4):340–341.</w:t>
      </w:r>
    </w:p>
    <w:p>
      <w:pPr>
        <w:spacing w:line="480" w:lineRule="auto"/>
      </w:pPr>
      <w:r>
        <w:t>16. Morris TP, White IR, Crowther MJ. Using simulation studies to evaluate statistical methods. Stat Med. 2019;38(11):2074–2102.</w:t>
      </w:r>
    </w:p>
    <w:p>
      <w:pPr>
        <w:spacing w:line="480" w:lineRule="auto"/>
      </w:pPr>
      <w:r>
        <w:t>17. Rosenbaum PR, Rubin DB. The central role of the propensity score in observational studies for causal effects. Biometrika. 1983;70(1):41–55.</w:t>
      </w:r>
    </w:p>
    <w:p>
      <w:pPr>
        <w:spacing w:line="480" w:lineRule="auto"/>
      </w:pPr>
      <w:r>
        <w:t>18. McLachlan GJ, Peel D. Finite Mixture Models. New York: Wiley; 2000.</w:t>
      </w:r>
    </w:p>
    <w:p>
      <w:pPr>
        <w:spacing w:line="480" w:lineRule="auto"/>
      </w:pPr>
      <w:r>
        <w:t>19. Hansen BB. The prognostic analogue of the propensity score. Biometrika. 2008;95(2):481–488.</w:t>
      </w:r>
    </w:p>
    <w:p>
      <w:pPr>
        <w:spacing w:line="480" w:lineRule="auto"/>
      </w:pPr>
      <w:r>
        <w:t>20.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