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Figure Legends</w:t>
      </w:r>
    </w:p>
    <w:p/>
    <w:p>
      <w:pPr>
        <w:spacing w:after="240" w:line="360" w:lineRule="auto"/>
      </w:pPr>
      <w:r>
        <w:rPr>
          <w:rFonts w:ascii="Times New Roman" w:hAnsi="Times New Roman"/>
          <w:b/>
          <w:sz w:val="22"/>
        </w:rPr>
        <w:t xml:space="preserve">Figure 1. </w:t>
      </w:r>
      <w:r>
        <w:rPr>
          <w:rFonts w:ascii="Times New Roman" w:hAnsi="Times New Roman"/>
          <w:sz w:val="22"/>
        </w:rPr>
        <w:t>ARI and NMI by method (K = 5 strata, zx = 1.0). Horizontal bar charts showing Adjusted Rand Index (left panel) and Normalised Mutual Information (right panel) for all proposed IONE methods, active comparators, and baselines. All proposed methods significantly outperformed the random baseline (p &lt; 0.001 for all comparisons). Oracle (k-means on Z) achieved the highest ARI (0.353) and NMI (0.627). Among proposed methods, Method 1B (residual) performed best (ARI = 0.021). PCA variants are shown individually. ARI, Adjusted Rand Index; NMI, Normalised Mutual Information; zx, Z→X influence strength.</w:t>
      </w:r>
    </w:p>
    <w:p>
      <w:pPr>
        <w:spacing w:after="240" w:line="360" w:lineRule="auto"/>
      </w:pPr>
      <w:r>
        <w:rPr>
          <w:rFonts w:ascii="Times New Roman" w:hAnsi="Times New Roman"/>
          <w:b/>
          <w:sz w:val="22"/>
        </w:rPr>
        <w:t xml:space="preserve">Figure 2. </w:t>
      </w:r>
      <w:r>
        <w:rPr>
          <w:rFonts w:ascii="Times New Roman" w:hAnsi="Times New Roman"/>
          <w:sz w:val="22"/>
        </w:rPr>
        <w:t>ARI by Z→X influence strength for proposed methods and active comparators. Line plot showing ARI (y-axis) across three levels of Z→X influence strength (0.3, 0.5, 1.0; x-axis). Shaded bands represent 95% confidence intervals based on Monte Carlo standard errors. Method 1B (residual) showed the most robust performance under weak signal conditions (ARI = 0.015 at zx = 0.3), whilst other methods converged toward the random baseline. Oracle baselines (k-means and quantile on Z) were invariant to Z→X influence. ARI, Adjusted Rand Index; CI, confidence interval; MC SE, Monte Carlo standard error.</w:t>
      </w:r>
    </w:p>
    <w:p>
      <w:pPr>
        <w:spacing w:after="240" w:line="360" w:lineRule="auto"/>
      </w:pPr>
      <w:r>
        <w:rPr>
          <w:rFonts w:ascii="Times New Roman" w:hAnsi="Times New Roman"/>
          <w:b/>
          <w:sz w:val="22"/>
        </w:rPr>
        <w:t xml:space="preserve">Figure 3. </w:t>
      </w:r>
      <w:r>
        <w:rPr>
          <w:rFonts w:ascii="Times New Roman" w:hAnsi="Times New Roman"/>
          <w:sz w:val="22"/>
        </w:rPr>
        <w:t>Eta-squared (η²) values showing capture of individual critical variables by each method (K = 5 strata, zx = 1.0). Grouped bar chart displaying variance in each unmeasured variable (Z₁: age, continuous; Z₂: sex, binary; Z₃: BMI, ordinal) explained by the stratification. Age (Z₁) was captured most effectively (η² up to 0.306 for Method 1C). Binary variables (Z₂: sex) were poorly captured by all methods (η² &lt; 0.02). η², eta-squared (proportion of variance explained).</w:t>
      </w:r>
    </w:p>
    <w:p>
      <w:pPr>
        <w:spacing w:after="240" w:line="360" w:lineRule="auto"/>
      </w:pPr>
      <w:r>
        <w:rPr>
          <w:rFonts w:ascii="Times New Roman" w:hAnsi="Times New Roman"/>
          <w:b/>
          <w:sz w:val="22"/>
        </w:rPr>
        <w:t xml:space="preserve">Figure 4. </w:t>
      </w:r>
      <w:r>
        <w:rPr>
          <w:rFonts w:ascii="Times New Roman" w:hAnsi="Times New Roman"/>
          <w:sz w:val="22"/>
        </w:rPr>
        <w:t>Coherence indicator C1 across methods (K = 5 strata, zx = 1.0). Horizontal bar chart showing C1 values sorted from lowest (most between-stratum heterogeneity) to highest. Error bars represent 95% confidence intervals. C1 values were similar across most methods (range 0.77–0.88), with Method 1B showing the lowest C1 (0.771), indicating relatively more between-stratum heterogeneity. C1, between-stratum heterogeneity indicator derived from I².</w:t>
      </w:r>
    </w:p>
    <w:p>
      <w:pPr>
        <w:spacing w:after="240" w:line="360" w:lineRule="auto"/>
      </w:pPr>
      <w:r>
        <w:rPr>
          <w:rFonts w:ascii="Times New Roman" w:hAnsi="Times New Roman"/>
          <w:b/>
          <w:sz w:val="22"/>
        </w:rPr>
        <w:t xml:space="preserve">Figure 5. </w:t>
      </w:r>
      <w:r>
        <w:rPr>
          <w:rFonts w:ascii="Times New Roman" w:hAnsi="Times New Roman"/>
          <w:sz w:val="22"/>
        </w:rPr>
        <w:t>Within-stratum homogeneity indicator W by method (K = 5 strata, zx = 1.0). Horizontal bar chart showing W values sorted from highest (most homogeneous strata) to lowest. Error bars represent 95% confidence intervals. W effectively discriminated methods capturing hidden structure (W ≈ 0.41 for best proposed methods) from random stratification (W ≈ 0.002). Oracle (quantile on Z) achieved the highest W (0.557). W, within-stratum homogeneity indicator = 1 − (weighted within-stratum CATE variance / overall CATE variance).</w:t>
      </w:r>
    </w:p>
    <w:p>
      <w:pPr>
        <w:spacing w:after="240" w:line="360" w:lineRule="auto"/>
      </w:pPr>
      <w:r>
        <w:rPr>
          <w:rFonts w:ascii="Times New Roman" w:hAnsi="Times New Roman"/>
          <w:b/>
          <w:sz w:val="22"/>
        </w:rPr>
        <w:t xml:space="preserve">Figure 6. </w:t>
      </w:r>
      <w:r>
        <w:rPr>
          <w:rFonts w:ascii="Times New Roman" w:hAnsi="Times New Roman"/>
          <w:sz w:val="22"/>
        </w:rPr>
        <w:t>C1 (between-stratum heterogeneity) vs. W (within-stratum homogeneity) for all methods (K = 5 strata, zx = 1.0). Scatter plot showing the diagnostic profile of each method. The ideal position is the lower-right quadrant (low C1 = high between-stratum heterogeneity; high W = high within-stratum homogeneity). Proposed methods and comparators cluster in the upper-right region, clearly separated from random stratification (near origin). Circles: proposed methods; squares: oracle baselines; crosses: random baseline. C1, between-stratum heterogeneity indicator; W, within-stratum homogeneity indicator; CATE, conditional average treatment effect.</w:t>
      </w:r>
    </w:p>
    <w:p>
      <w:pPr>
        <w:spacing w:after="240" w:line="360" w:lineRule="auto"/>
      </w:pPr>
      <w:r>
        <w:rPr>
          <w:rFonts w:ascii="Times New Roman" w:hAnsi="Times New Roman"/>
          <w:b/>
          <w:sz w:val="22"/>
        </w:rPr>
        <w:t xml:space="preserve">Figure 7. </w:t>
      </w:r>
      <w:r>
        <w:rPr>
          <w:rFonts w:ascii="Times New Roman" w:hAnsi="Times New Roman"/>
          <w:sz w:val="22"/>
        </w:rPr>
        <w:t>Treatment effect bias reduction by method (K = 5 strata, zx = 1.0). Horizontal bar chart showing the absolute reduction in ATE bias (log-OR scale) achieved by stratification relative to the crude (unstratified) estimate. Error bars represent 95% confidence intervals. Method 1B achieved the largest bias reduction (7.4%), bringing the stratified ATE closest to the true ATE. ATE, average treatment effect; OR, odds ratio.</w:t>
      </w:r>
    </w:p>
    <w:p>
      <w:pPr>
        <w:spacing w:after="240" w:line="360" w:lineRule="auto"/>
      </w:pPr>
      <w:r>
        <w:rPr>
          <w:rFonts w:ascii="Times New Roman" w:hAnsi="Times New Roman"/>
          <w:b/>
          <w:sz w:val="22"/>
        </w:rPr>
        <w:t xml:space="preserve">Figure 8. </w:t>
      </w:r>
      <w:r>
        <w:rPr>
          <w:rFonts w:ascii="Times New Roman" w:hAnsi="Times New Roman"/>
          <w:sz w:val="22"/>
        </w:rPr>
        <w:t>Effect of sample size on method performance in sensitivity analysis (109,350 evaluations). Line plot showing ARI (y-axis) across sample sizes N = 500, 2,000, and 10,000 (x-axis, log scale) for selected methods. Performance was largely insensitive to sample size, with ARI increasing modestly from 0.0094 (N = 500) to 0.0109 (N = 10,000) across proposed methods. ARI, Adjusted Rand Index; N, sample size.</w:t>
      </w:r>
    </w:p>
    <w:p>
      <w:pPr>
        <w:spacing w:after="240" w:line="360" w:lineRule="auto"/>
      </w:pPr>
      <w:r>
        <w:rPr>
          <w:rFonts w:ascii="Times New Roman" w:hAnsi="Times New Roman"/>
          <w:b/>
          <w:sz w:val="22"/>
        </w:rPr>
        <w:t xml:space="preserve">Figure 9. </w:t>
      </w:r>
      <w:r>
        <w:rPr>
          <w:rFonts w:ascii="Times New Roman" w:hAnsi="Times New Roman"/>
          <w:sz w:val="22"/>
        </w:rPr>
        <w:t>Z→X influence strength vs. ARI in sensitivity analysis (109,350 evaluations). Line plot showing ARI (y-axis) across three levels of Z→X influence strength (0.2, 0.5, 1.0; x-axis) for selected methods. Z→X influence was the dominant determinant of performance, with ARI increasing 19- to 34-fold from weak to strong signal. ARI, Adjusted Rand Index; zx, Z→X influence strength.</w:t>
      </w:r>
    </w:p>
    <w:p>
      <w:pPr>
        <w:spacing w:after="240" w:line="360" w:lineRule="auto"/>
      </w:pPr>
      <w:r>
        <w:rPr>
          <w:rFonts w:ascii="Times New Roman" w:hAnsi="Times New Roman"/>
          <w:b/>
          <w:sz w:val="22"/>
        </w:rPr>
        <w:t xml:space="preserve">Figure 10. </w:t>
      </w:r>
      <w:r>
        <w:rPr>
          <w:rFonts w:ascii="Times New Roman" w:hAnsi="Times New Roman"/>
          <w:sz w:val="22"/>
        </w:rPr>
        <w:t>Summary dashboard of Phase 1 simulation results (K = 5, zx = 1.0). Four-panel display showing ARI (upper left), W (upper right), bias reduction (lower left), and C1 (lower right) for all methods. Each panel shows mean values with 95% confidence intervals. ARI, Adjusted Rand Index; W, within-stratum homogeneity indicator; C1, between-stratum heterogeneity indicator.</w:t>
      </w:r>
    </w:p>
    <w:p>
      <w:pPr>
        <w:spacing w:after="240" w:line="360" w:lineRule="auto"/>
      </w:pPr>
      <w:r>
        <w:rPr>
          <w:rFonts w:ascii="Times New Roman" w:hAnsi="Times New Roman"/>
          <w:b/>
          <w:sz w:val="22"/>
        </w:rPr>
        <w:t xml:space="preserve">Figure 11. </w:t>
      </w:r>
      <w:r>
        <w:rPr>
          <w:rFonts w:ascii="Times New Roman" w:hAnsi="Times New Roman"/>
          <w:sz w:val="22"/>
        </w:rPr>
        <w:t>Subgroup recovery (ARI) across the five semi-synthetic Simpson's paradox examples by method. Grouped bar chart showing ARI for each method within each example. The kidney stone example showed the strongest recovery (ARI = 0.851 for Method 2B), whilst the COVID-19 CFR example was the most challenging (ARI = 0.064). Oracle achieved ARI = 1.000 in all examples. ARI, Adjusted Rand Index.</w:t>
      </w:r>
    </w:p>
    <w:p>
      <w:pPr>
        <w:spacing w:after="240" w:line="360" w:lineRule="auto"/>
      </w:pPr>
      <w:r>
        <w:rPr>
          <w:rFonts w:ascii="Times New Roman" w:hAnsi="Times New Roman"/>
          <w:b/>
          <w:sz w:val="22"/>
        </w:rPr>
        <w:t xml:space="preserve">Figure 12. </w:t>
      </w:r>
      <w:r>
        <w:rPr>
          <w:rFonts w:ascii="Times New Roman" w:hAnsi="Times New Roman"/>
          <w:sz w:val="22"/>
        </w:rPr>
        <w:t>C1 values across the five semi-synthetic illustrations: proposed methods vs. random baseline. Grouped bar chart showing C1 for each method within each example. C1 was consistently low for proposed methods (C1 &lt; 0.04 in all examples), whilst random stratification yielded C1 = 1.000 in four of five examples. C1, between-stratum heterogeneity indicator.</w:t>
      </w:r>
    </w:p>
    <w:p>
      <w:pPr>
        <w:spacing w:after="240" w:line="360" w:lineRule="auto"/>
      </w:pPr>
      <w:r>
        <w:rPr>
          <w:rFonts w:ascii="Times New Roman" w:hAnsi="Times New Roman"/>
          <w:b/>
          <w:sz w:val="22"/>
        </w:rPr>
        <w:t xml:space="preserve">Figure 13. </w:t>
      </w:r>
      <w:r>
        <w:rPr>
          <w:rFonts w:ascii="Times New Roman" w:hAnsi="Times New Roman"/>
          <w:sz w:val="22"/>
        </w:rPr>
        <w:t>Method comparison across the five semi-synthetic examples. Horizontal bar chart showing mean ARI (averaged across five examples) for each method. Oracle achieved the highest mean ARI, followed by Method 2B (clustering) and Method 1A (predicted probability). ARI, Adjusted Rand Index.</w:t>
      </w:r>
    </w:p>
    <w:p>
      <w:pPr>
        <w:spacing w:after="240" w:line="360" w:lineRule="auto"/>
      </w:pPr>
      <w:r>
        <w:rPr>
          <w:rFonts w:ascii="Times New Roman" w:hAnsi="Times New Roman"/>
          <w:b/>
          <w:sz w:val="22"/>
        </w:rPr>
        <w:t xml:space="preserve">Figure 14. </w:t>
      </w:r>
      <w:r>
        <w:rPr>
          <w:rFonts w:ascii="Times New Roman" w:hAnsi="Times New Roman"/>
          <w:sz w:val="22"/>
        </w:rPr>
        <w:t>Eta-squared (η²) heatmap across semi-synthetic examples and methods. Colour intensity represents the mean η² (variance in the known confounding variable Z explained by the stratification). Warmer colours indicate higher variance captured. The kidney stone example showed the highest η² values overall, consistent with its simple binary confounder structure. η², eta-squared.</w:t>
      </w:r>
    </w:p>
    <w:p>
      <w:pPr>
        <w:spacing w:after="240" w:line="360" w:lineRule="auto"/>
      </w:pPr>
      <w:r>
        <w:rPr>
          <w:rFonts w:ascii="Times New Roman" w:hAnsi="Times New Roman"/>
          <w:b/>
          <w:sz w:val="22"/>
        </w:rPr>
        <w:t xml:space="preserve">Figure 15. </w:t>
      </w:r>
      <w:r>
        <w:rPr>
          <w:rFonts w:ascii="Times New Roman" w:hAnsi="Times New Roman"/>
          <w:sz w:val="22"/>
        </w:rPr>
        <w:t>Direction consistency analysis across the five semi-synthetic examples. Grouped bar chart showing the proportion of strata in which the direction of the treatment–outcome association was consistent with the overall direction, for each method within each example. Higher values indicate greater consistency. Direction consistency rate, proportion of strata with concordant effect direction.</w:t>
      </w:r>
    </w:p>
    <w:p>
      <w:pPr>
        <w:spacing w:after="240" w:line="360" w:lineRule="auto"/>
      </w:pPr>
      <w:r>
        <w:rPr>
          <w:rFonts w:ascii="Times New Roman" w:hAnsi="Times New Roman"/>
          <w:b/>
          <w:sz w:val="22"/>
        </w:rPr>
        <w:t xml:space="preserve">Figure 16. </w:t>
      </w:r>
      <w:r>
        <w:rPr>
          <w:rFonts w:ascii="Times New Roman" w:hAnsi="Times New Roman"/>
          <w:sz w:val="22"/>
        </w:rPr>
        <w:t>Summary dashboard of semi-synthetic illustration results across all five examples. Four-panel display showing ARI (upper left), C1 (upper right), mean η² (lower left), and direction consistency (lower right) for each method, averaged across the five examples. ARI, Adjusted Rand Index; C1, between-stratum heterogeneity indicator; η², eta-squared; direction consistency, proportion of strata with concordant effect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