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left"/>
      </w:pPr>
      <w:r>
        <w:rPr>
          <w:rFonts w:ascii="Times New Roman" w:hAnsi="Times New Roman"/>
          <w:b/>
          <w:i w:val="0"/>
          <w:sz w:val="24"/>
        </w:rPr>
        <w:t>Running head: KOTHA Framework for Trial Design</w:t>
      </w:r>
    </w:p>
    <w:p>
      <w:pPr>
        <w:jc w:val="center"/>
      </w:pPr>
      <w:r>
        <w:rPr>
          <w:rFonts w:ascii="Times New Roman" w:hAnsi="Times New Roman"/>
          <w:b/>
          <w:i w:val="0"/>
          <w:sz w:val="28"/>
        </w:rPr>
        <w:t>The KOTHA Framework: diagnosing structural information loss in randomized controlled trial meta-analyses to inform trial design</w:t>
      </w:r>
    </w:p>
    <w:p>
      <w:pPr>
        <w:jc w:val="center"/>
      </w:pPr>
      <w:r>
        <w:rPr>
          <w:rFonts w:ascii="Times New Roman" w:hAnsi="Times New Roman"/>
          <w:b w:val="0"/>
          <w:i/>
          <w:sz w:val="24"/>
        </w:rPr>
        <w:t>[To be determined]</w:t>
      </w:r>
    </w:p>
    <w:p>
      <w:r>
        <w:rPr>
          <w:rFonts w:ascii="Times New Roman" w:hAnsi="Times New Roman"/>
          <w:b w:val="0"/>
          <w:i w:val="0"/>
          <w:sz w:val="24"/>
        </w:rPr>
        <w:t>Word count: 2107</w:t>
      </w:r>
    </w:p>
    <w:p>
      <w:r>
        <w:rPr>
          <w:rFonts w:ascii="Times New Roman" w:hAnsi="Times New Roman"/>
          <w:b w:val="0"/>
          <w:i w:val="0"/>
          <w:sz w:val="24"/>
        </w:rPr>
        <w:t>Corresponding author: [To be determined]</w:t>
      </w:r>
    </w:p>
    <w:p>
      <w:r>
        <w:rPr>
          <w:rFonts w:ascii="Times New Roman" w:hAnsi="Times New Roman"/>
          <w:b w:val="0"/>
          <w:i/>
          <w:sz w:val="24"/>
        </w:rPr>
        <w:t>Prepared for submission to Contemporary Clinical Trials Communications</w:t>
      </w:r>
    </w:p>
    <w:p>
      <w:r>
        <w:br w:type="page"/>
      </w:r>
    </w:p>
    <w:p>
      <w:pPr>
        <w:pStyle w:val="Heading2"/>
      </w:pPr>
      <w:r>
        <w:rPr>
          <w:rFonts w:ascii="Times New Roman" w:hAnsi="Times New Roman"/>
          <w:b/>
          <w:color w:val="000000"/>
          <w:sz w:val="24"/>
        </w:rPr>
        <w:t>Abstract</w:t>
      </w:r>
    </w:p>
    <w:p xmlns:a="http://schemas.openxmlformats.org/drawingml/2006/main" xmlns:pic="http://schemas.openxmlformats.org/drawingml/2006/picture">
      <w:pPr>
        <w:pStyle w:val="Normal"/>
        <w:spacing w:line="480" w:lineRule="auto" w:after="120"/>
      </w:pPr>
      <w:r>
        <w:rPr>
          <w:bCs/>
          <w:b/>
          <w:rFonts w:ascii="Times New Roman" w:hAnsi="Times New Roman" w:cs="Times New Roman" w:eastAsia="Times New Roman"/>
          <w:sz w:val="24"/>
          <w:szCs w:val="24"/>
        </w:rPr>
        <w:t xml:space="preserve">Background</w:t>
      </w:r>
      <w:r>
        <w:rPr>
          <w:rFonts w:ascii="Times New Roman" w:hAnsi="Times New Roman" w:cs="Times New Roman" w:eastAsia="Times New Roman"/>
          <w:sz w:val="24"/>
          <w:szCs w:val="24"/>
        </w:rPr>
        <w:t xml:space="preserve">: Evidence-based medicine ranks RCTs and meta-analyses highest, yet observational-RCT discordance is usually attributed to confounding. We highlight a structural explanation: trial enrollment progressively excludes higher-risk patients, diluting event rates and statistical information. The Knowledge-driven Observational-Trial Harmonization Approach (KOTHA) Framework diagnoses this structural information loss.</w:t>
      </w:r>
      <w:r>
        <w:rPr>
          <w:rFonts w:ascii="Times New Roman" w:hAnsi="Times New Roman" w:cs="Times New Roman" w:eastAsia="Times New Roman"/>
          <w:sz w:val="24"/>
          <w:szCs w:val="24"/>
        </w:rPr>
        <w:t xml:space="preserve"> </w:t>
      </w:r>
      <w:r>
        <w:rPr>
          <w:bCs/>
          <w:b/>
          <w:rFonts w:ascii="Times New Roman" w:hAnsi="Times New Roman" w:cs="Times New Roman" w:eastAsia="Times New Roman"/>
          <w:sz w:val="24"/>
          <w:szCs w:val="24"/>
        </w:rPr>
        <w:t xml:space="preserve">Methods</w:t>
      </w:r>
      <w:r>
        <w:rPr>
          <w:rFonts w:ascii="Times New Roman" w:hAnsi="Times New Roman" w:cs="Times New Roman" w:eastAsia="Times New Roman"/>
          <w:sz w:val="24"/>
          <w:szCs w:val="24"/>
        </w:rPr>
        <w:t xml:space="preserve">: KOTHA comprises three modules. Module K (Counterfactual Power Simulation) quantifies how enrollment-driven risk-profile shifts alter statistical power. Module T (Bayesian Evidence Integration) combines RCT and observational evidence using power-prior discounting. Module H (Guideline Interpreter) translates outputs into a structured GRADE-compatible assessment. We illustrated KOTHA using two cases of observational-RCT divergence: intravenous magnesium in acute myocardial infarction (12 trials, 1984-1995) and statins in heart failure (5 observational studies, 2 RCTs).</w:t>
      </w:r>
      <w:r>
        <w:rPr>
          <w:rFonts w:ascii="Times New Roman" w:hAnsi="Times New Roman" w:cs="Times New Roman" w:eastAsia="Times New Roman"/>
          <w:sz w:val="24"/>
          <w:szCs w:val="24"/>
        </w:rPr>
        <w:t xml:space="preserve"> </w:t>
      </w:r>
      <w:r>
        <w:rPr>
          <w:bCs/>
          <w:b/>
          <w:rFonts w:ascii="Times New Roman" w:hAnsi="Times New Roman" w:cs="Times New Roman" w:eastAsia="Times New Roman"/>
          <w:sz w:val="24"/>
          <w:szCs w:val="24"/>
        </w:rPr>
        <w:t xml:space="preserve">Results</w:t>
      </w:r>
      <w:r>
        <w:rPr>
          <w:rFonts w:ascii="Times New Roman" w:hAnsi="Times New Roman" w:cs="Times New Roman" w:eastAsia="Times New Roman"/>
          <w:sz w:val="24"/>
          <w:szCs w:val="24"/>
        </w:rPr>
        <w:t xml:space="preserve">: In the magnesium case, control event rates fell from 8.9% to 7.2%; the pre-ISIS-4 pooled OR was 0.54 (95% CI: 0.40-0.75) and the all-trials estimate 0.56 (0.38-0.83) with</w:t>
      </w:r>
      <w:r>
        <w:rPr>
          <w:rFonts w:ascii="Times New Roman" w:hAnsi="Times New Roman" w:cs="Times New Roman" w:eastAsia="Times New Roman"/>
          <w:sz w:val="24"/>
          <w:szCs w:val="24"/>
        </w:rPr>
        <w:t xml:space="preserve"> </w:t>
      </w:r>
      <m:oMath>
        <m:sSup>
          <m:e>
            <m:r>
              <m:t>I</m:t>
            </m:r>
          </m:e>
          <m:sup>
            <m:r>
              <m:t>2</m:t>
            </m:r>
          </m:sup>
        </m:sSup>
      </m:oMath>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62%. In the statins case, observational HR was 0.72 (0.64-0.80) versus RCT HR 0.97 (0.90-1.05), with an RCT-to-observational event rate ratio of 0.53. Bayesian integration with moderate discounting (</w:t>
      </w:r>
      <m:oMath>
        <m:r>
          <m:t>α</m:t>
        </m:r>
      </m:oMath>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0.3) yielded OR 0.73 (95% CrI: 0.28-2.09), P(OR &lt; 1) = 77% for magnesium, and HR 0.85 (0.59-1.57), P(HR &lt; 1) = 84% for statins. Module H reclassified both cases as informationally inconclusive due to serious indirectness.</w:t>
      </w:r>
      <w:r>
        <w:rPr>
          <w:rFonts w:ascii="Times New Roman" w:hAnsi="Times New Roman" w:cs="Times New Roman" w:eastAsia="Times New Roman"/>
          <w:sz w:val="24"/>
          <w:szCs w:val="24"/>
        </w:rPr>
        <w:t xml:space="preserve"> </w:t>
      </w:r>
      <w:r>
        <w:rPr>
          <w:bCs/>
          <w:b/>
          <w:rFonts w:ascii="Times New Roman" w:hAnsi="Times New Roman" w:cs="Times New Roman" w:eastAsia="Times New Roman"/>
          <w:sz w:val="24"/>
          <w:szCs w:val="24"/>
        </w:rPr>
        <w:t xml:space="preserve">Conclusions</w:t>
      </w:r>
      <w:r>
        <w:rPr>
          <w:rFonts w:ascii="Times New Roman" w:hAnsi="Times New Roman" w:cs="Times New Roman" w:eastAsia="Times New Roman"/>
          <w:sz w:val="24"/>
          <w:szCs w:val="24"/>
        </w:rPr>
        <w:t xml:space="preserve">: KOTHA provides a reproducible, quantitative method to distinguish</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w:t>
      </w:r>
      <w:r>
        <w:rPr>
          <w:rFonts w:ascii="Times New Roman" w:hAnsi="Times New Roman" w:cs="Times New Roman" w:eastAsia="Times New Roman"/>
          <w:sz w:val="24"/>
          <w:szCs w:val="24"/>
        </w:rPr>
        <w:t xml:space="preserve">evidence of no effect</w:t>
      </w:r>
      <w:r>
        <w:rPr>
          <w:rFonts w:ascii="Times New Roman" w:hAnsi="Times New Roman" w:cs="Times New Roman" w:eastAsia="Times New Roman"/>
          <w:sz w:val="24"/>
          <w:szCs w:val="24"/>
        </w:rPr>
        <w:t xml:space="preserve">”</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from</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w:t>
      </w:r>
      <w:r>
        <w:rPr>
          <w:rFonts w:ascii="Times New Roman" w:hAnsi="Times New Roman" w:cs="Times New Roman" w:eastAsia="Times New Roman"/>
          <w:sz w:val="24"/>
          <w:szCs w:val="24"/>
        </w:rPr>
        <w:t xml:space="preserve">no evidence of effect</w:t>
      </w:r>
      <w:r>
        <w:rPr>
          <w:rFonts w:ascii="Times New Roman" w:hAnsi="Times New Roman" w:cs="Times New Roman" w:eastAsia="Times New Roman"/>
          <w:sz w:val="24"/>
          <w:szCs w:val="24"/>
        </w:rPr>
        <w:t xml:space="preserve">”</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and to inform trial design, evidence synthesis, and guideline interpretation.</w:t>
      </w:r>
    </w:p>
    <w:p xmlns:a="http://schemas.openxmlformats.org/drawingml/2006/main" xmlns:pic="http://schemas.openxmlformats.org/drawingml/2006/picture">
      <w:pPr>
        <w:pStyle w:val="Normal"/>
        <w:spacing w:line="480" w:lineRule="auto" w:after="120"/>
      </w:pPr>
      <w:r>
        <w:rPr>
          <w:bCs/>
          <w:b/>
          <w:rFonts w:ascii="Times New Roman" w:hAnsi="Times New Roman" w:cs="Times New Roman" w:eastAsia="Times New Roman"/>
          <w:sz w:val="24"/>
          <w:szCs w:val="24"/>
        </w:rPr>
        <w:t xml:space="preserve">Keywords</w:t>
      </w:r>
      <w:r>
        <w:rPr>
          <w:rFonts w:ascii="Times New Roman" w:hAnsi="Times New Roman" w:cs="Times New Roman" w:eastAsia="Times New Roman"/>
          <w:sz w:val="24"/>
          <w:szCs w:val="24"/>
        </w:rPr>
        <w:t xml:space="preserve">: randomized controlled trials, meta-analysis, observational studies, trial design, counterfactual simulation, Bayesian evidence synthesis, power analysis, GRADE, magnesium, statins, heart failure</w:t>
      </w:r>
    </w:p>
    <w:p>
      <w:pPr>
        <w:pStyle w:val="Heading2"/>
      </w:pPr>
      <w:r>
        <w:rPr>
          <w:rFonts w:ascii="Times New Roman" w:hAnsi="Times New Roman"/>
          <w:b/>
          <w:color w:val="000000"/>
          <w:sz w:val="24"/>
        </w:rPr>
        <w:t>Abbreviations</w:t>
      </w:r>
    </w:p>
    <w:tbl xmlns:a="http://schemas.openxmlformats.org/drawingml/2006/main" xmlns:pic="http://schemas.openxmlformats.org/drawingml/2006/picture">
      <w:tblPr>
        <w:tblStyle w:val="Table Grid"/>
        <w:tblW w:type="pct" w:w="5000"/>
        <w:tblLook w:firstRow="1" w:lastRow="0" w:firstColumn="0" w:lastColumn="0" w:noHBand="0" w:noVBand="0" w:val="0020"/>
        <w:jc w:val="center"/>
        <w:tblLayout w:type="fixed"/>
      </w:tblPr>
      <w:tblGrid>
        <w:gridCol w:w="3960"/>
        <w:gridCol w:w="3960"/>
      </w:tblGrid>
      <w:tr>
        <w:trPr>
          <w:tblHeader w:val="true"/>
        </w:trPr>
        <w:tc>
          <w:tcPr/>
          <w:p>
            <w:pPr>
              <w:pStyle w:val="Normal"/>
              <w:jc w:val="left"/>
              <w:spacing w:line="240" w:lineRule="auto" w:after="0"/>
            </w:pPr>
            <w:r>
              <w:rPr>
                <w:rFonts w:ascii="Times New Roman" w:hAnsi="Times New Roman" w:cs="Times New Roman" w:eastAsia="Times New Roman"/>
                <w:sz w:val="20"/>
                <w:szCs w:val="20"/>
                <w:b/>
              </w:rPr>
              <w:t xml:space="preserve">Abbreviation</w:t>
            </w:r>
          </w:p>
        </w:tc>
        <w:tc>
          <w:tcPr/>
          <w:p>
            <w:pPr>
              <w:pStyle w:val="Normal"/>
              <w:jc w:val="left"/>
              <w:spacing w:line="240" w:lineRule="auto" w:after="0"/>
            </w:pPr>
            <w:r>
              <w:rPr>
                <w:rFonts w:ascii="Times New Roman" w:hAnsi="Times New Roman" w:cs="Times New Roman" w:eastAsia="Times New Roman"/>
                <w:sz w:val="20"/>
                <w:szCs w:val="20"/>
                <w:b/>
              </w:rPr>
              <w:t xml:space="preserve">Definition</w:t>
            </w:r>
          </w:p>
        </w:tc>
      </w:tr>
      <w:tr>
        <w:tc>
          <w:tcPr/>
          <w:p>
            <w:pPr>
              <w:pStyle w:val="Normal"/>
              <w:jc w:val="left"/>
              <w:spacing w:line="240" w:lineRule="auto" w:after="0"/>
            </w:pPr>
            <w:r>
              <w:rPr>
                <w:rFonts w:ascii="Times New Roman" w:hAnsi="Times New Roman" w:cs="Times New Roman" w:eastAsia="Times New Roman"/>
                <w:sz w:val="20"/>
                <w:szCs w:val="20"/>
              </w:rPr>
              <w:t xml:space="preserve">ADEMP</w:t>
            </w:r>
          </w:p>
        </w:tc>
        <w:tc>
          <w:tcPr/>
          <w:p>
            <w:pPr>
              <w:pStyle w:val="Normal"/>
              <w:jc w:val="left"/>
              <w:spacing w:line="240" w:lineRule="auto" w:after="0"/>
            </w:pPr>
            <w:r>
              <w:rPr>
                <w:rFonts w:ascii="Times New Roman" w:hAnsi="Times New Roman" w:cs="Times New Roman" w:eastAsia="Times New Roman"/>
                <w:sz w:val="20"/>
                <w:szCs w:val="20"/>
              </w:rPr>
              <w:t xml:space="preserve">Aims, Data-generating mechanisms, Estimands, Methods, Performance measures</w:t>
            </w:r>
          </w:p>
        </w:tc>
      </w:tr>
      <w:tr>
        <w:tc>
          <w:tcPr/>
          <w:p>
            <w:pPr>
              <w:pStyle w:val="Normal"/>
              <w:jc w:val="left"/>
              <w:spacing w:line="240" w:lineRule="auto" w:after="0"/>
            </w:pPr>
            <w:r>
              <w:rPr>
                <w:rFonts w:ascii="Times New Roman" w:hAnsi="Times New Roman" w:cs="Times New Roman" w:eastAsia="Times New Roman"/>
                <w:sz w:val="20"/>
                <w:szCs w:val="20"/>
              </w:rPr>
              <w:t xml:space="preserve">AMI</w:t>
            </w:r>
          </w:p>
        </w:tc>
        <w:tc>
          <w:tcPr/>
          <w:p>
            <w:pPr>
              <w:pStyle w:val="Normal"/>
              <w:jc w:val="left"/>
              <w:spacing w:line="240" w:lineRule="auto" w:after="0"/>
            </w:pPr>
            <w:r>
              <w:rPr>
                <w:rFonts w:ascii="Times New Roman" w:hAnsi="Times New Roman" w:cs="Times New Roman" w:eastAsia="Times New Roman"/>
                <w:sz w:val="20"/>
                <w:szCs w:val="20"/>
              </w:rPr>
              <w:t xml:space="preserve">Acute myocardial infarction</w:t>
            </w:r>
          </w:p>
        </w:tc>
      </w:tr>
      <w:tr>
        <w:tc>
          <w:tcPr/>
          <w:p>
            <w:pPr>
              <w:pStyle w:val="Normal"/>
              <w:jc w:val="left"/>
              <w:spacing w:line="240" w:lineRule="auto" w:after="0"/>
            </w:pPr>
            <w:r>
              <w:rPr>
                <w:rFonts w:ascii="Times New Roman" w:hAnsi="Times New Roman" w:cs="Times New Roman" w:eastAsia="Times New Roman"/>
                <w:sz w:val="20"/>
                <w:szCs w:val="20"/>
              </w:rPr>
              <w:t xml:space="preserve">CrI</w:t>
            </w:r>
          </w:p>
        </w:tc>
        <w:tc>
          <w:tcPr/>
          <w:p>
            <w:pPr>
              <w:pStyle w:val="Normal"/>
              <w:jc w:val="left"/>
              <w:spacing w:line="240" w:lineRule="auto" w:after="0"/>
            </w:pPr>
            <w:r>
              <w:rPr>
                <w:rFonts w:ascii="Times New Roman" w:hAnsi="Times New Roman" w:cs="Times New Roman" w:eastAsia="Times New Roman"/>
                <w:sz w:val="20"/>
                <w:szCs w:val="20"/>
              </w:rPr>
              <w:t xml:space="preserve">Credible interval</w:t>
            </w:r>
          </w:p>
        </w:tc>
      </w:tr>
      <w:tr>
        <w:tc>
          <w:tcPr/>
          <w:p>
            <w:pPr>
              <w:pStyle w:val="Normal"/>
              <w:jc w:val="left"/>
              <w:spacing w:line="240" w:lineRule="auto" w:after="0"/>
            </w:pPr>
            <w:r>
              <w:rPr>
                <w:rFonts w:ascii="Times New Roman" w:hAnsi="Times New Roman" w:cs="Times New Roman" w:eastAsia="Times New Roman"/>
                <w:sz w:val="20"/>
                <w:szCs w:val="20"/>
              </w:rPr>
              <w:t xml:space="preserve">CI</w:t>
            </w:r>
          </w:p>
        </w:tc>
        <w:tc>
          <w:tcPr/>
          <w:p>
            <w:pPr>
              <w:pStyle w:val="Normal"/>
              <w:jc w:val="left"/>
              <w:spacing w:line="240" w:lineRule="auto" w:after="0"/>
            </w:pPr>
            <w:r>
              <w:rPr>
                <w:rFonts w:ascii="Times New Roman" w:hAnsi="Times New Roman" w:cs="Times New Roman" w:eastAsia="Times New Roman"/>
                <w:sz w:val="20"/>
                <w:szCs w:val="20"/>
              </w:rPr>
              <w:t xml:space="preserve">Confidence interval</w:t>
            </w:r>
          </w:p>
        </w:tc>
      </w:tr>
      <w:tr>
        <w:tc>
          <w:tcPr/>
          <w:p>
            <w:pPr>
              <w:pStyle w:val="Normal"/>
              <w:jc w:val="left"/>
              <w:spacing w:line="240" w:lineRule="auto" w:after="0"/>
            </w:pPr>
            <w:r>
              <w:rPr>
                <w:rFonts w:ascii="Times New Roman" w:hAnsi="Times New Roman" w:cs="Times New Roman" w:eastAsia="Times New Roman"/>
                <w:sz w:val="20"/>
                <w:szCs w:val="20"/>
              </w:rPr>
              <w:t xml:space="preserve">EBM</w:t>
            </w:r>
          </w:p>
        </w:tc>
        <w:tc>
          <w:tcPr/>
          <w:p>
            <w:pPr>
              <w:pStyle w:val="Normal"/>
              <w:jc w:val="left"/>
              <w:spacing w:line="240" w:lineRule="auto" w:after="0"/>
            </w:pPr>
            <w:r>
              <w:rPr>
                <w:rFonts w:ascii="Times New Roman" w:hAnsi="Times New Roman" w:cs="Times New Roman" w:eastAsia="Times New Roman"/>
                <w:sz w:val="20"/>
                <w:szCs w:val="20"/>
              </w:rPr>
              <w:t xml:space="preserve">Evidence-based medicine</w:t>
            </w:r>
          </w:p>
        </w:tc>
      </w:tr>
      <w:tr>
        <w:tc>
          <w:tcPr/>
          <w:p>
            <w:pPr>
              <w:pStyle w:val="Normal"/>
              <w:jc w:val="left"/>
              <w:spacing w:line="240" w:lineRule="auto" w:after="0"/>
            </w:pPr>
            <w:r>
              <w:rPr>
                <w:rFonts w:ascii="Times New Roman" w:hAnsi="Times New Roman" w:cs="Times New Roman" w:eastAsia="Times New Roman"/>
                <w:sz w:val="20"/>
                <w:szCs w:val="20"/>
              </w:rPr>
              <w:t xml:space="preserve">GRADE</w:t>
            </w:r>
          </w:p>
        </w:tc>
        <w:tc>
          <w:tcPr/>
          <w:p>
            <w:pPr>
              <w:pStyle w:val="Normal"/>
              <w:jc w:val="left"/>
              <w:spacing w:line="240" w:lineRule="auto" w:after="0"/>
            </w:pPr>
            <w:r>
              <w:rPr>
                <w:rFonts w:ascii="Times New Roman" w:hAnsi="Times New Roman" w:cs="Times New Roman" w:eastAsia="Times New Roman"/>
                <w:sz w:val="20"/>
                <w:szCs w:val="20"/>
              </w:rPr>
              <w:t xml:space="preserve">Grading of Recommendations Assessment, Development and Evaluation</w:t>
            </w:r>
          </w:p>
        </w:tc>
      </w:tr>
      <w:tr>
        <w:tc>
          <w:tcPr/>
          <w:p>
            <w:pPr>
              <w:pStyle w:val="Normal"/>
              <w:jc w:val="left"/>
              <w:spacing w:line="240" w:lineRule="auto" w:after="0"/>
            </w:pPr>
            <w:r>
              <w:rPr>
                <w:rFonts w:ascii="Times New Roman" w:hAnsi="Times New Roman" w:cs="Times New Roman" w:eastAsia="Times New Roman"/>
                <w:sz w:val="20"/>
                <w:szCs w:val="20"/>
              </w:rPr>
              <w:t xml:space="preserve">HF</w:t>
            </w:r>
          </w:p>
        </w:tc>
        <w:tc>
          <w:tcPr/>
          <w:p>
            <w:pPr>
              <w:pStyle w:val="Normal"/>
              <w:jc w:val="left"/>
              <w:spacing w:line="240" w:lineRule="auto" w:after="0"/>
            </w:pPr>
            <w:r>
              <w:rPr>
                <w:rFonts w:ascii="Times New Roman" w:hAnsi="Times New Roman" w:cs="Times New Roman" w:eastAsia="Times New Roman"/>
                <w:sz w:val="20"/>
                <w:szCs w:val="20"/>
              </w:rPr>
              <w:t xml:space="preserve">Heart failure</w:t>
            </w:r>
          </w:p>
        </w:tc>
      </w:tr>
      <w:tr>
        <w:tc>
          <w:tcPr/>
          <w:p>
            <w:pPr>
              <w:pStyle w:val="Normal"/>
              <w:jc w:val="left"/>
              <w:spacing w:line="240" w:lineRule="auto" w:after="0"/>
            </w:pPr>
            <w:r>
              <w:rPr>
                <w:rFonts w:ascii="Times New Roman" w:hAnsi="Times New Roman" w:cs="Times New Roman" w:eastAsia="Times New Roman"/>
                <w:sz w:val="20"/>
                <w:szCs w:val="20"/>
              </w:rPr>
              <w:t xml:space="preserve">HR</w:t>
            </w:r>
          </w:p>
        </w:tc>
        <w:tc>
          <w:tcPr/>
          <w:p>
            <w:pPr>
              <w:pStyle w:val="Normal"/>
              <w:jc w:val="left"/>
              <w:spacing w:line="240" w:lineRule="auto" w:after="0"/>
            </w:pPr>
            <w:r>
              <w:rPr>
                <w:rFonts w:ascii="Times New Roman" w:hAnsi="Times New Roman" w:cs="Times New Roman" w:eastAsia="Times New Roman"/>
                <w:sz w:val="20"/>
                <w:szCs w:val="20"/>
              </w:rPr>
              <w:t xml:space="preserve">Hazard ratio</w:t>
            </w:r>
          </w:p>
        </w:tc>
      </w:tr>
      <w:tr>
        <w:tc>
          <w:tcPr/>
          <w:p>
            <w:pPr>
              <w:pStyle w:val="Normal"/>
              <w:jc w:val="left"/>
              <w:spacing w:line="240" w:lineRule="auto" w:after="0"/>
            </w:pPr>
            <w:r>
              <w:rPr>
                <w:rFonts w:ascii="Times New Roman" w:hAnsi="Times New Roman" w:cs="Times New Roman" w:eastAsia="Times New Roman"/>
                <w:sz w:val="20"/>
                <w:szCs w:val="20"/>
              </w:rPr>
              <w:t xml:space="preserve">KOTHA</w:t>
            </w:r>
          </w:p>
        </w:tc>
        <w:tc>
          <w:tcPr/>
          <w:p>
            <w:pPr>
              <w:pStyle w:val="Normal"/>
              <w:jc w:val="left"/>
              <w:spacing w:line="240" w:lineRule="auto" w:after="0"/>
            </w:pPr>
            <w:r>
              <w:rPr>
                <w:rFonts w:ascii="Times New Roman" w:hAnsi="Times New Roman" w:cs="Times New Roman" w:eastAsia="Times New Roman"/>
                <w:sz w:val="20"/>
                <w:szCs w:val="20"/>
              </w:rPr>
              <w:t xml:space="preserve">Knowledge-driven Observational-Trial Harmonization Approach</w:t>
            </w:r>
          </w:p>
        </w:tc>
      </w:tr>
      <w:tr>
        <w:tc>
          <w:tcPr/>
          <w:p>
            <w:pPr>
              <w:pStyle w:val="Normal"/>
              <w:jc w:val="left"/>
              <w:spacing w:line="240" w:lineRule="auto" w:after="0"/>
            </w:pPr>
            <w:r>
              <w:rPr>
                <w:rFonts w:ascii="Times New Roman" w:hAnsi="Times New Roman" w:cs="Times New Roman" w:eastAsia="Times New Roman"/>
                <w:sz w:val="20"/>
                <w:szCs w:val="20"/>
              </w:rPr>
              <w:t xml:space="preserve">MCMC</w:t>
            </w:r>
          </w:p>
        </w:tc>
        <w:tc>
          <w:tcPr/>
          <w:p>
            <w:pPr>
              <w:pStyle w:val="Normal"/>
              <w:jc w:val="left"/>
              <w:spacing w:line="240" w:lineRule="auto" w:after="0"/>
            </w:pPr>
            <w:r>
              <w:rPr>
                <w:rFonts w:ascii="Times New Roman" w:hAnsi="Times New Roman" w:cs="Times New Roman" w:eastAsia="Times New Roman"/>
                <w:sz w:val="20"/>
                <w:szCs w:val="20"/>
              </w:rPr>
              <w:t xml:space="preserve">Markov chain Monte Carlo</w:t>
            </w:r>
          </w:p>
        </w:tc>
      </w:tr>
      <w:tr>
        <w:tc>
          <w:tcPr/>
          <w:p>
            <w:pPr>
              <w:pStyle w:val="Normal"/>
              <w:jc w:val="left"/>
              <w:spacing w:line="240" w:lineRule="auto" w:after="0"/>
            </w:pPr>
            <w:r>
              <w:rPr>
                <w:rFonts w:ascii="Times New Roman" w:hAnsi="Times New Roman" w:cs="Times New Roman" w:eastAsia="Times New Roman"/>
                <w:sz w:val="20"/>
                <w:szCs w:val="20"/>
              </w:rPr>
              <w:t xml:space="preserve">OIS</w:t>
            </w:r>
          </w:p>
        </w:tc>
        <w:tc>
          <w:tcPr/>
          <w:p>
            <w:pPr>
              <w:pStyle w:val="Normal"/>
              <w:jc w:val="left"/>
              <w:spacing w:line="240" w:lineRule="auto" w:after="0"/>
            </w:pPr>
            <w:r>
              <w:rPr>
                <w:rFonts w:ascii="Times New Roman" w:hAnsi="Times New Roman" w:cs="Times New Roman" w:eastAsia="Times New Roman"/>
                <w:sz w:val="20"/>
                <w:szCs w:val="20"/>
              </w:rPr>
              <w:t xml:space="preserve">Optimal information size</w:t>
            </w:r>
          </w:p>
        </w:tc>
      </w:tr>
      <w:tr>
        <w:tc>
          <w:tcPr/>
          <w:p>
            <w:pPr>
              <w:pStyle w:val="Normal"/>
              <w:jc w:val="left"/>
              <w:spacing w:line="240" w:lineRule="auto" w:after="0"/>
            </w:pPr>
            <w:r>
              <w:rPr>
                <w:rFonts w:ascii="Times New Roman" w:hAnsi="Times New Roman" w:cs="Times New Roman" w:eastAsia="Times New Roman"/>
                <w:sz w:val="20"/>
                <w:szCs w:val="20"/>
              </w:rPr>
              <w:t xml:space="preserve">OR</w:t>
            </w:r>
          </w:p>
        </w:tc>
        <w:tc>
          <w:tcPr/>
          <w:p>
            <w:pPr>
              <w:pStyle w:val="Normal"/>
              <w:jc w:val="left"/>
              <w:spacing w:line="240" w:lineRule="auto" w:after="0"/>
            </w:pPr>
            <w:r>
              <w:rPr>
                <w:rFonts w:ascii="Times New Roman" w:hAnsi="Times New Roman" w:cs="Times New Roman" w:eastAsia="Times New Roman"/>
                <w:sz w:val="20"/>
                <w:szCs w:val="20"/>
              </w:rPr>
              <w:t xml:space="preserve">Odds ratio</w:t>
            </w:r>
          </w:p>
        </w:tc>
      </w:tr>
      <w:tr>
        <w:tc>
          <w:tcPr/>
          <w:p>
            <w:pPr>
              <w:pStyle w:val="Normal"/>
              <w:jc w:val="left"/>
              <w:spacing w:line="240" w:lineRule="auto" w:after="0"/>
            </w:pPr>
            <w:r>
              <w:rPr>
                <w:rFonts w:ascii="Times New Roman" w:hAnsi="Times New Roman" w:cs="Times New Roman" w:eastAsia="Times New Roman"/>
                <w:sz w:val="20"/>
                <w:szCs w:val="20"/>
              </w:rPr>
              <w:t xml:space="preserve">RCT</w:t>
            </w:r>
          </w:p>
        </w:tc>
        <w:tc>
          <w:tcPr/>
          <w:p>
            <w:pPr>
              <w:pStyle w:val="Normal"/>
              <w:jc w:val="left"/>
              <w:spacing w:line="240" w:lineRule="auto" w:after="0"/>
            </w:pPr>
            <w:r>
              <w:rPr>
                <w:rFonts w:ascii="Times New Roman" w:hAnsi="Times New Roman" w:cs="Times New Roman" w:eastAsia="Times New Roman"/>
                <w:sz w:val="20"/>
                <w:szCs w:val="20"/>
              </w:rPr>
              <w:t xml:space="preserve">Randomized controlled trial</w:t>
            </w:r>
          </w:p>
        </w:tc>
      </w:tr>
      <w:tr>
        <w:tc>
          <w:tcPr/>
          <w:p>
            <w:pPr>
              <w:pStyle w:val="Normal"/>
              <w:jc w:val="left"/>
              <w:spacing w:line="240" w:lineRule="auto" w:after="0"/>
            </w:pPr>
            <w:r>
              <w:rPr>
                <w:rFonts w:ascii="Times New Roman" w:hAnsi="Times New Roman" w:cs="Times New Roman" w:eastAsia="Times New Roman"/>
                <w:sz w:val="20"/>
                <w:szCs w:val="20"/>
              </w:rPr>
              <w:t xml:space="preserve">TSA</w:t>
            </w:r>
          </w:p>
        </w:tc>
        <w:tc>
          <w:tcPr/>
          <w:p>
            <w:pPr>
              <w:pStyle w:val="Normal"/>
              <w:jc w:val="left"/>
              <w:spacing w:line="240" w:lineRule="auto" w:after="0"/>
            </w:pPr>
            <w:r>
              <w:rPr>
                <w:rFonts w:ascii="Times New Roman" w:hAnsi="Times New Roman" w:cs="Times New Roman" w:eastAsia="Times New Roman"/>
                <w:sz w:val="20"/>
                <w:szCs w:val="20"/>
              </w:rPr>
              <w:t xml:space="preserve">Trial sequential analysis</w:t>
            </w:r>
          </w:p>
        </w:tc>
      </w:tr>
    </w:tbl>
    <w:p>
      <w:pPr>
        <w:pStyle w:val="Heading2"/>
      </w:pPr>
      <w:r>
        <w:rPr>
          <w:rFonts w:ascii="Times New Roman" w:hAnsi="Times New Roman"/>
          <w:b/>
          <w:color w:val="000000"/>
          <w:sz w:val="24"/>
        </w:rPr>
        <w:t>Introduction</w:t>
      </w:r>
    </w:p>
    <w:p xmlns:a="http://schemas.openxmlformats.org/drawingml/2006/main" xmlns:pic="http://schemas.openxmlformats.org/drawingml/2006/picture">
      <w:pPr>
        <w:pStyle w:val="Normal"/>
        <w:spacing w:line="480" w:lineRule="auto" w:after="120"/>
      </w:pPr>
      <w:r>
        <w:rPr>
          <w:rFonts w:ascii="Times New Roman" w:hAnsi="Times New Roman" w:cs="Times New Roman" w:eastAsia="Times New Roman"/>
          <w:sz w:val="24"/>
          <w:szCs w:val="24"/>
        </w:rPr>
        <w:t xml:space="preserve">Evidence-based medicine places RCTs and their meta-analyses at the apex of the evidence hierarchy because randomization minimizes confounding and provides internally valid estimates of treatment effects [1]. Nevertheless, meta-analyses of observational studies and RCTs frequently disagree: observational evidence may show statistically significant benefit while RCT evidence does not [2-3]. The conventional explanation invokes residual confounding, selection bias, or publication bias in observational data. While these sources of bias are real, they may not fully account for the discordance.</w:t>
      </w:r>
    </w:p>
    <w:p xmlns:a="http://schemas.openxmlformats.org/drawingml/2006/main" xmlns:pic="http://schemas.openxmlformats.org/drawingml/2006/picture">
      <w:pPr>
        <w:pStyle w:val="Normal"/>
        <w:spacing w:line="480" w:lineRule="auto" w:after="120"/>
      </w:pPr>
      <w:r>
        <w:rPr>
          <w:rFonts w:ascii="Times New Roman" w:hAnsi="Times New Roman" w:cs="Times New Roman" w:eastAsia="Times New Roman"/>
          <w:sz w:val="24"/>
          <w:szCs w:val="24"/>
        </w:rPr>
        <w:t xml:space="preserve">An alternative, structural explanation deserves systematic attention. RCT enrollment criteria, consent processes, and site selection progressively restrict the study population [4-5]. Because clinical events are concentrated in the highest-risk patients—those with comorbidities, advanced disease, or organ dysfunction—their exclusion lowers event rates in the enrolled cohort. If trial protocols do not compensate by increasing sample size, extending follow-up, or enriching high-risk enrollment, the resulting evidence base can become informationally insufficient. We term this phenomenon</w:t>
      </w:r>
      <w:r>
        <w:rPr>
          <w:rFonts w:ascii="Times New Roman" w:hAnsi="Times New Roman" w:cs="Times New Roman" w:eastAsia="Times New Roman"/>
          <w:sz w:val="24"/>
          <w:szCs w:val="24"/>
        </w:rPr>
        <w:t xml:space="preserve"> </w:t>
      </w:r>
      <w:r>
        <w:rPr>
          <w:bCs/>
          <w:b/>
          <w:rFonts w:ascii="Times New Roman" w:hAnsi="Times New Roman" w:cs="Times New Roman" w:eastAsia="Times New Roman"/>
          <w:sz w:val="24"/>
          <w:szCs w:val="24"/>
        </w:rPr>
        <w:t xml:space="preserve">structural information loss</w:t>
      </w:r>
      <w:r>
        <w:rPr>
          <w:rFonts w:ascii="Times New Roman" w:hAnsi="Times New Roman" w:cs="Times New Roman" w:eastAsia="Times New Roman"/>
          <w:sz w:val="24"/>
          <w:szCs w:val="24"/>
        </w:rPr>
        <w:t xml:space="preserve">, a five-step causal chain: representativeness loss; event concentration in excluded populations; inadequate design compensation; systematic underpowering; and, ultimately, distorted recommendations when</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w:t>
      </w:r>
      <w:r>
        <w:rPr>
          <w:rFonts w:ascii="Times New Roman" w:hAnsi="Times New Roman" w:cs="Times New Roman" w:eastAsia="Times New Roman"/>
          <w:sz w:val="24"/>
          <w:szCs w:val="24"/>
        </w:rPr>
        <w:t xml:space="preserve">no statistically significant difference</w:t>
      </w:r>
      <w:r>
        <w:rPr>
          <w:rFonts w:ascii="Times New Roman" w:hAnsi="Times New Roman" w:cs="Times New Roman" w:eastAsia="Times New Roman"/>
          <w:sz w:val="24"/>
          <w:szCs w:val="24"/>
        </w:rPr>
        <w:t xml:space="preserve">”</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is interpreted as</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w:t>
      </w:r>
      <w:r>
        <w:rPr>
          <w:rFonts w:ascii="Times New Roman" w:hAnsi="Times New Roman" w:cs="Times New Roman" w:eastAsia="Times New Roman"/>
          <w:sz w:val="24"/>
          <w:szCs w:val="24"/>
        </w:rPr>
        <w:t xml:space="preserve">no effect</w:t>
      </w:r>
      <w:r>
        <w:rPr>
          <w:rFonts w:ascii="Times New Roman" w:hAnsi="Times New Roman" w:cs="Times New Roman" w:eastAsia="Times New Roman"/>
          <w:sz w:val="24"/>
          <w:szCs w:val="24"/>
        </w:rPr>
        <w:t xml:space="preserve">”</w:t>
      </w:r>
      <w:r>
        <w:rPr>
          <w:rFonts w:ascii="Times New Roman" w:hAnsi="Times New Roman" w:cs="Times New Roman" w:eastAsia="Times New Roman"/>
          <w:sz w:val="24"/>
          <w:szCs w:val="24"/>
        </w:rPr>
        <w:t xml:space="preserve">.</w:t>
      </w:r>
    </w:p>
    <w:p xmlns:a="http://schemas.openxmlformats.org/drawingml/2006/main" xmlns:pic="http://schemas.openxmlformats.org/drawingml/2006/picture">
      <w:pPr>
        <w:pStyle w:val="Normal"/>
        <w:spacing w:line="480" w:lineRule="auto" w:after="120"/>
      </w:pPr>
      <w:r>
        <w:rPr>
          <w:rFonts w:ascii="Times New Roman" w:hAnsi="Times New Roman" w:cs="Times New Roman" w:eastAsia="Times New Roman"/>
          <w:sz w:val="24"/>
          <w:szCs w:val="24"/>
        </w:rPr>
        <w:t xml:space="preserve">The concepts of optimal information size (OIS) and trial sequential analysis (TSA) provide partial remedies. OIS recognizes that meta-analyses, like individual trials, require a minimum information size to reach reliable conclusions [6-7]. TSA applies sequential monitoring boundaries to cumulative meta-analysis, distinguishing evidence of no effect (futility boundary crossed) from no evidence of effect (boundary not crossed) [8-9]. However, these tools are underused in guideline development, and neither directly quantifies the information loss attributable to enrollment-driven risk-profile shifts.</w:t>
      </w:r>
    </w:p>
    <w:p xmlns:a="http://schemas.openxmlformats.org/drawingml/2006/main" xmlns:pic="http://schemas.openxmlformats.org/drawingml/2006/picture">
      <w:pPr>
        <w:pStyle w:val="Normal"/>
        <w:spacing w:line="480" w:lineRule="auto" w:after="120"/>
      </w:pPr>
      <w:r>
        <w:rPr>
          <w:rFonts w:ascii="Times New Roman" w:hAnsi="Times New Roman" w:cs="Times New Roman" w:eastAsia="Times New Roman"/>
          <w:sz w:val="24"/>
          <w:szCs w:val="24"/>
        </w:rPr>
        <w:t xml:space="preserve">A number of trial design strategies can mitigate event dilution (Table 1), including stratified randomization, prognostic enrichment, event-driven designs, adaptive sample-size re-estimation, and pragmatic or registry-based trials. Yet no existing framework integrates prospective power assessment, retrospective diagnostic evaluation, and structured evidence interpretation for completed or planned RCTs.</w:t>
      </w:r>
    </w:p>
    <w:p xmlns:a="http://schemas.openxmlformats.org/drawingml/2006/main" xmlns:pic="http://schemas.openxmlformats.org/drawingml/2006/picture">
      <w:pPr>
        <w:pStyle w:val="Normal"/>
        <w:spacing w:line="480" w:lineRule="auto" w:after="120"/>
      </w:pPr>
      <w:r>
        <w:rPr>
          <w:rFonts w:ascii="Times New Roman" w:hAnsi="Times New Roman" w:cs="Times New Roman" w:eastAsia="Times New Roman"/>
          <w:sz w:val="24"/>
          <w:szCs w:val="24"/>
        </w:rPr>
        <w:t xml:space="preserve">We therefore developed the Knowledge-driven Observational-Trial Harmonization Approach (KOTHA) Framework. It is a three-module system that (1) diagnoses structural information loss through counterfactual power simulation (Module K), (2) integrates discordant evidence through hierarchical Bayesian meta-analysis (Module T), and (3) translates quantitative findings into GRADE-compatible evidence assessment (Module H). This paper describes the framework and illustrates its application to two canonical cases of observational-RCT divergence, with an emphasis on implications for clinical trial design.</w:t>
      </w:r>
    </w:p>
    <w:p>
      <w:r>
        <w:rPr>
          <w:rFonts w:ascii="Times New Roman" w:hAnsi="Times New Roman"/>
          <w:b/>
          <w:i w:val="0"/>
          <w:sz w:val="24"/>
        </w:rPr>
        <w:t>Table 1: Existing approaches to mitigate event dilution in RCTs</w:t>
      </w:r>
    </w:p>
    <w:tbl xmlns:a="http://schemas.openxmlformats.org/drawingml/2006/main" xmlns:pic="http://schemas.openxmlformats.org/drawingml/2006/picture">
      <w:tblPr>
        <w:tblStyle w:val="Table Grid"/>
        <w:tblW w:type="pct" w:w="5000"/>
        <w:tblLook w:firstRow="1" w:lastRow="0" w:firstColumn="0" w:lastColumn="0" w:noHBand="0" w:noVBand="0" w:val="0020"/>
        <w:jc w:val="center"/>
        <w:tblLayout w:type="fixed"/>
      </w:tblPr>
      <w:tblGrid>
        <w:gridCol w:w="2640"/>
        <w:gridCol w:w="2640"/>
        <w:gridCol w:w="2640"/>
      </w:tblGrid>
      <w:tr>
        <w:trPr>
          <w:tblHeader w:val="true"/>
        </w:trPr>
        <w:tc>
          <w:tcPr/>
          <w:p>
            <w:pPr>
              <w:pStyle w:val="Normal"/>
              <w:jc w:val="left"/>
              <w:spacing w:line="240" w:lineRule="auto" w:after="0"/>
            </w:pPr>
            <w:r>
              <w:rPr>
                <w:rFonts w:ascii="Times New Roman" w:hAnsi="Times New Roman" w:cs="Times New Roman" w:eastAsia="Times New Roman"/>
                <w:sz w:val="20"/>
                <w:szCs w:val="20"/>
                <w:b/>
              </w:rPr>
              <w:t xml:space="preserve">Approach</w:t>
            </w:r>
          </w:p>
        </w:tc>
        <w:tc>
          <w:tcPr/>
          <w:p>
            <w:pPr>
              <w:pStyle w:val="Normal"/>
              <w:jc w:val="left"/>
              <w:spacing w:line="240" w:lineRule="auto" w:after="0"/>
            </w:pPr>
            <w:r>
              <w:rPr>
                <w:rFonts w:ascii="Times New Roman" w:hAnsi="Times New Roman" w:cs="Times New Roman" w:eastAsia="Times New Roman"/>
                <w:sz w:val="20"/>
                <w:szCs w:val="20"/>
                <w:b/>
              </w:rPr>
              <w:t xml:space="preserve">Mechanism</w:t>
            </w:r>
          </w:p>
        </w:tc>
        <w:tc>
          <w:tcPr/>
          <w:p>
            <w:pPr>
              <w:pStyle w:val="Normal"/>
              <w:jc w:val="left"/>
              <w:spacing w:line="240" w:lineRule="auto" w:after="0"/>
            </w:pPr>
            <w:r>
              <w:rPr>
                <w:rFonts w:ascii="Times New Roman" w:hAnsi="Times New Roman" w:cs="Times New Roman" w:eastAsia="Times New Roman"/>
                <w:sz w:val="20"/>
                <w:szCs w:val="20"/>
                <w:b/>
              </w:rPr>
              <w:t xml:space="preserve">Adoption level</w:t>
            </w:r>
          </w:p>
        </w:tc>
      </w:tr>
      <w:tr>
        <w:tc>
          <w:tcPr/>
          <w:p>
            <w:pPr>
              <w:pStyle w:val="Normal"/>
              <w:jc w:val="left"/>
              <w:spacing w:line="240" w:lineRule="auto" w:after="0"/>
            </w:pPr>
            <w:r>
              <w:rPr>
                <w:rFonts w:ascii="Times New Roman" w:hAnsi="Times New Roman" w:cs="Times New Roman" w:eastAsia="Times New Roman"/>
                <w:sz w:val="20"/>
                <w:szCs w:val="20"/>
              </w:rPr>
              <w:t xml:space="preserve">Stratified randomization</w:t>
            </w:r>
          </w:p>
        </w:tc>
        <w:tc>
          <w:tcPr/>
          <w:p>
            <w:pPr>
              <w:pStyle w:val="Normal"/>
              <w:jc w:val="left"/>
              <w:spacing w:line="240" w:lineRule="auto" w:after="0"/>
            </w:pPr>
            <w:r>
              <w:rPr>
                <w:rFonts w:ascii="Times New Roman" w:hAnsi="Times New Roman" w:cs="Times New Roman" w:eastAsia="Times New Roman"/>
                <w:sz w:val="20"/>
                <w:szCs w:val="20"/>
              </w:rPr>
              <w:t xml:space="preserve">Risk-based stratification of randomization and analysis</w:t>
            </w:r>
          </w:p>
        </w:tc>
        <w:tc>
          <w:tcPr/>
          <w:p>
            <w:pPr>
              <w:pStyle w:val="Normal"/>
              <w:jc w:val="left"/>
              <w:spacing w:line="240" w:lineRule="auto" w:after="0"/>
            </w:pPr>
            <w:r>
              <w:rPr>
                <w:rFonts w:ascii="Times New Roman" w:hAnsi="Times New Roman" w:cs="Times New Roman" w:eastAsia="Times New Roman"/>
                <w:sz w:val="20"/>
                <w:szCs w:val="20"/>
              </w:rPr>
              <w:t xml:space="preserve">Common for basic strata; rare for event-rate-driven strata</w:t>
            </w:r>
          </w:p>
        </w:tc>
      </w:tr>
      <w:tr>
        <w:tc>
          <w:tcPr/>
          <w:p>
            <w:pPr>
              <w:pStyle w:val="Normal"/>
              <w:jc w:val="left"/>
              <w:spacing w:line="240" w:lineRule="auto" w:after="0"/>
            </w:pPr>
            <w:r>
              <w:rPr>
                <w:rFonts w:ascii="Times New Roman" w:hAnsi="Times New Roman" w:cs="Times New Roman" w:eastAsia="Times New Roman"/>
                <w:sz w:val="20"/>
                <w:szCs w:val="20"/>
              </w:rPr>
              <w:t xml:space="preserve">Prognostic enrichment</w:t>
            </w:r>
          </w:p>
        </w:tc>
        <w:tc>
          <w:tcPr/>
          <w:p>
            <w:pPr>
              <w:pStyle w:val="Normal"/>
              <w:jc w:val="left"/>
              <w:spacing w:line="240" w:lineRule="auto" w:after="0"/>
            </w:pPr>
            <w:r>
              <w:rPr>
                <w:rFonts w:ascii="Times New Roman" w:hAnsi="Times New Roman" w:cs="Times New Roman" w:eastAsia="Times New Roman"/>
                <w:sz w:val="20"/>
                <w:szCs w:val="20"/>
              </w:rPr>
              <w:t xml:space="preserve">Intentional enrollment of high-risk patients to increase event rates</w:t>
            </w:r>
          </w:p>
        </w:tc>
        <w:tc>
          <w:tcPr/>
          <w:p>
            <w:pPr>
              <w:pStyle w:val="Normal"/>
              <w:jc w:val="left"/>
              <w:spacing w:line="240" w:lineRule="auto" w:after="0"/>
            </w:pPr>
            <w:r>
              <w:rPr>
                <w:rFonts w:ascii="Times New Roman" w:hAnsi="Times New Roman" w:cs="Times New Roman" w:eastAsia="Times New Roman"/>
                <w:sz w:val="20"/>
                <w:szCs w:val="20"/>
              </w:rPr>
              <w:t xml:space="preserve">Endorsed by FDA and EMA guidance; limited in non-drug trials</w:t>
            </w:r>
          </w:p>
        </w:tc>
      </w:tr>
      <w:tr>
        <w:tc>
          <w:tcPr/>
          <w:p>
            <w:pPr>
              <w:pStyle w:val="Normal"/>
              <w:jc w:val="left"/>
              <w:spacing w:line="240" w:lineRule="auto" w:after="0"/>
            </w:pPr>
            <w:r>
              <w:rPr>
                <w:rFonts w:ascii="Times New Roman" w:hAnsi="Times New Roman" w:cs="Times New Roman" w:eastAsia="Times New Roman"/>
                <w:sz w:val="20"/>
                <w:szCs w:val="20"/>
              </w:rPr>
              <w:t xml:space="preserve">Event-driven design</w:t>
            </w:r>
          </w:p>
        </w:tc>
        <w:tc>
          <w:tcPr/>
          <w:p>
            <w:pPr>
              <w:pStyle w:val="Normal"/>
              <w:jc w:val="left"/>
              <w:spacing w:line="240" w:lineRule="auto" w:after="0"/>
            </w:pPr>
            <w:r>
              <w:rPr>
                <w:rFonts w:ascii="Times New Roman" w:hAnsi="Times New Roman" w:cs="Times New Roman" w:eastAsia="Times New Roman"/>
                <w:sz w:val="20"/>
                <w:szCs w:val="20"/>
              </w:rPr>
              <w:t xml:space="preserve">Continue enrollment/follow-up until target event count is reached</w:t>
            </w:r>
          </w:p>
        </w:tc>
        <w:tc>
          <w:tcPr/>
          <w:p>
            <w:pPr>
              <w:pStyle w:val="Normal"/>
              <w:jc w:val="left"/>
              <w:spacing w:line="240" w:lineRule="auto" w:after="0"/>
            </w:pPr>
            <w:r>
              <w:rPr>
                <w:rFonts w:ascii="Times New Roman" w:hAnsi="Times New Roman" w:cs="Times New Roman" w:eastAsia="Times New Roman"/>
                <w:sz w:val="20"/>
                <w:szCs w:val="20"/>
              </w:rPr>
              <w:t xml:space="preserve">Common in cardiology and oncology; rare in other specialties</w:t>
            </w:r>
          </w:p>
        </w:tc>
      </w:tr>
      <w:tr>
        <w:tc>
          <w:tcPr/>
          <w:p>
            <w:pPr>
              <w:pStyle w:val="Normal"/>
              <w:jc w:val="left"/>
              <w:spacing w:line="240" w:lineRule="auto" w:after="0"/>
            </w:pPr>
            <w:r>
              <w:rPr>
                <w:rFonts w:ascii="Times New Roman" w:hAnsi="Times New Roman" w:cs="Times New Roman" w:eastAsia="Times New Roman"/>
                <w:sz w:val="20"/>
                <w:szCs w:val="20"/>
              </w:rPr>
              <w:t xml:space="preserve">Adaptive sample size re-estimation</w:t>
            </w:r>
          </w:p>
        </w:tc>
        <w:tc>
          <w:tcPr/>
          <w:p>
            <w:pPr>
              <w:pStyle w:val="Normal"/>
              <w:jc w:val="left"/>
              <w:spacing w:line="240" w:lineRule="auto" w:after="0"/>
            </w:pPr>
            <w:r>
              <w:rPr>
                <w:rFonts w:ascii="Times New Roman" w:hAnsi="Times New Roman" w:cs="Times New Roman" w:eastAsia="Times New Roman"/>
                <w:sz w:val="20"/>
                <w:szCs w:val="20"/>
              </w:rPr>
              <w:t xml:space="preserve">Mid-trial re-estimation of required sample size based on observed event rates</w:t>
            </w:r>
          </w:p>
        </w:tc>
        <w:tc>
          <w:tcPr/>
          <w:p>
            <w:pPr>
              <w:pStyle w:val="Normal"/>
              <w:jc w:val="left"/>
              <w:spacing w:line="240" w:lineRule="auto" w:after="0"/>
            </w:pPr>
            <w:r>
              <w:rPr>
                <w:rFonts w:ascii="Times New Roman" w:hAnsi="Times New Roman" w:cs="Times New Roman" w:eastAsia="Times New Roman"/>
                <w:sz w:val="20"/>
                <w:szCs w:val="20"/>
              </w:rPr>
              <w:t xml:space="preserve">Statistically powerful; regulatory complexity limits adoption</w:t>
            </w:r>
          </w:p>
        </w:tc>
      </w:tr>
      <w:tr>
        <w:tc>
          <w:tcPr/>
          <w:p>
            <w:pPr>
              <w:pStyle w:val="Normal"/>
              <w:jc w:val="left"/>
              <w:spacing w:line="240" w:lineRule="auto" w:after="0"/>
            </w:pPr>
            <w:r>
              <w:rPr>
                <w:rFonts w:ascii="Times New Roman" w:hAnsi="Times New Roman" w:cs="Times New Roman" w:eastAsia="Times New Roman"/>
                <w:sz w:val="20"/>
                <w:szCs w:val="20"/>
              </w:rPr>
              <w:t xml:space="preserve">External data-informed design</w:t>
            </w:r>
          </w:p>
        </w:tc>
        <w:tc>
          <w:tcPr/>
          <w:p>
            <w:pPr>
              <w:pStyle w:val="Normal"/>
              <w:jc w:val="left"/>
              <w:spacing w:line="240" w:lineRule="auto" w:after="0"/>
            </w:pPr>
            <w:r>
              <w:rPr>
                <w:rFonts w:ascii="Times New Roman" w:hAnsi="Times New Roman" w:cs="Times New Roman" w:eastAsia="Times New Roman"/>
                <w:sz w:val="20"/>
                <w:szCs w:val="20"/>
              </w:rPr>
              <w:t xml:space="preserve">Use retrospective data to quantify expected event loss and adjust design</w:t>
            </w:r>
          </w:p>
        </w:tc>
        <w:tc>
          <w:tcPr/>
          <w:p>
            <w:pPr>
              <w:pStyle w:val="Normal"/>
              <w:jc w:val="left"/>
              <w:spacing w:line="240" w:lineRule="auto" w:after="0"/>
            </w:pPr>
            <w:r>
              <w:rPr>
                <w:rFonts w:ascii="Times New Roman" w:hAnsi="Times New Roman" w:cs="Times New Roman" w:eastAsia="Times New Roman"/>
                <w:sz w:val="20"/>
                <w:szCs w:val="20"/>
              </w:rPr>
              <w:t xml:space="preserve">Ideal but very rare in practice</w:t>
            </w:r>
          </w:p>
        </w:tc>
      </w:tr>
      <w:tr>
        <w:tc>
          <w:tcPr/>
          <w:p>
            <w:pPr>
              <w:pStyle w:val="Normal"/>
              <w:jc w:val="left"/>
              <w:spacing w:line="240" w:lineRule="auto" w:after="0"/>
            </w:pPr>
            <w:r>
              <w:rPr>
                <w:rFonts w:ascii="Times New Roman" w:hAnsi="Times New Roman" w:cs="Times New Roman" w:eastAsia="Times New Roman"/>
                <w:sz w:val="20"/>
                <w:szCs w:val="20"/>
              </w:rPr>
              <w:t xml:space="preserve">Pragmatic / registry-based trials</w:t>
            </w:r>
          </w:p>
        </w:tc>
        <w:tc>
          <w:tcPr/>
          <w:p>
            <w:pPr>
              <w:pStyle w:val="Normal"/>
              <w:jc w:val="left"/>
              <w:spacing w:line="240" w:lineRule="auto" w:after="0"/>
            </w:pPr>
            <w:r>
              <w:rPr>
                <w:rFonts w:ascii="Times New Roman" w:hAnsi="Times New Roman" w:cs="Times New Roman" w:eastAsia="Times New Roman"/>
                <w:sz w:val="20"/>
                <w:szCs w:val="20"/>
              </w:rPr>
              <w:t xml:space="preserve">Broad eligibility, minimal exclusions, real-world enrollment</w:t>
            </w:r>
          </w:p>
        </w:tc>
        <w:tc>
          <w:tcPr/>
          <w:p>
            <w:pPr>
              <w:pStyle w:val="Normal"/>
              <w:jc w:val="left"/>
              <w:spacing w:line="240" w:lineRule="auto" w:after="0"/>
            </w:pPr>
            <w:r>
              <w:rPr>
                <w:rFonts w:ascii="Times New Roman" w:hAnsi="Times New Roman" w:cs="Times New Roman" w:eastAsia="Times New Roman"/>
                <w:sz w:val="20"/>
                <w:szCs w:val="20"/>
              </w:rPr>
              <w:t xml:space="preserve">Growing (e.g., REMAP-CAP, RECOVERY) but not yet standard</w:t>
            </w:r>
          </w:p>
        </w:tc>
      </w:tr>
    </w:tbl>
    <w:p>
      <w:pPr>
        <w:pStyle w:val="Heading2"/>
      </w:pPr>
      <w:r>
        <w:rPr>
          <w:rFonts w:ascii="Times New Roman" w:hAnsi="Times New Roman"/>
          <w:b/>
          <w:color w:val="000000"/>
          <w:sz w:val="24"/>
        </w:rPr>
        <w:t>Methods</w:t>
      </w:r>
    </w:p>
    <w:p>
      <w:pPr>
        <w:pStyle w:val="Heading3"/>
      </w:pPr>
      <w:r>
        <w:rPr>
          <w:rFonts w:ascii="Times New Roman" w:hAnsi="Times New Roman"/>
          <w:b/>
          <w:color w:val="000000"/>
          <w:sz w:val="24"/>
        </w:rPr>
        <w:t>Overview</w:t>
      </w:r>
    </w:p>
    <w:p xmlns:a="http://schemas.openxmlformats.org/drawingml/2006/main" xmlns:pic="http://schemas.openxmlformats.org/drawingml/2006/picture">
      <w:pPr>
        <w:pStyle w:val="Normal"/>
        <w:spacing w:line="480" w:lineRule="auto" w:after="120"/>
      </w:pPr>
      <w:r>
        <w:rPr>
          <w:rFonts w:ascii="Times New Roman" w:hAnsi="Times New Roman" w:cs="Times New Roman" w:eastAsia="Times New Roman"/>
          <w:sz w:val="24"/>
          <w:szCs w:val="24"/>
        </w:rPr>
        <w:t xml:space="preserve">The KOTHA Framework comprises three interconnected modules (Fig. 1). Module K (Counterfactual Power Simulation) quantifies how enrollment-driven risk-profile shifts reduce statistical power. Module T (Trial-Observational Bayesian Integration) combines RCT and observational evidence with explicit discounting for design-related bias. Module H (Hermeneutic Guideline Interpreter) translates module outputs into a structured GRADE assessment. Each module can be used independently, but the framework is most informative when applied in sequence.</w:t>
      </w:r>
    </w:p>
    <w:p>
      <w:pPr>
        <w:pStyle w:val="Heading3"/>
      </w:pPr>
      <w:r>
        <w:rPr>
          <w:rFonts w:ascii="Times New Roman" w:hAnsi="Times New Roman"/>
          <w:b/>
          <w:color w:val="000000"/>
          <w:sz w:val="24"/>
        </w:rPr>
        <w:t>Module K: Counterfactual power simulation</w:t>
      </w:r>
    </w:p>
    <w:p xmlns:a="http://schemas.openxmlformats.org/drawingml/2006/main" xmlns:pic="http://schemas.openxmlformats.org/drawingml/2006/picture">
      <w:pPr>
        <w:pStyle w:val="Normal"/>
        <w:spacing w:line="480" w:lineRule="auto" w:after="120"/>
      </w:pPr>
      <w:r>
        <w:rPr>
          <w:rFonts w:ascii="Times New Roman" w:hAnsi="Times New Roman" w:cs="Times New Roman" w:eastAsia="Times New Roman"/>
          <w:sz w:val="24"/>
          <w:szCs w:val="24"/>
        </w:rPr>
        <w:t xml:space="preserve">Module K asks: if the RCTs in a meta-analysis had enrolled patients with the risk profile of the real-world target population, would the combined evidence have been sufficient to detect the effect suggested by observational studies? The simulation component follows the ADEMP reporting structure [10].</w:t>
      </w:r>
    </w:p>
    <w:p xmlns:a="http://schemas.openxmlformats.org/drawingml/2006/main" xmlns:pic="http://schemas.openxmlformats.org/drawingml/2006/picture">
      <w:pPr>
        <w:pStyle w:val="Normal"/>
        <w:spacing w:line="480" w:lineRule="auto" w:after="120"/>
      </w:pPr>
      <w:r>
        <w:rPr>
          <w:rFonts w:ascii="Times New Roman" w:hAnsi="Times New Roman" w:cs="Times New Roman" w:eastAsia="Times New Roman"/>
          <w:sz w:val="24"/>
          <w:szCs w:val="24"/>
        </w:rPr>
        <w:t xml:space="preserve">We define three enrollment scenarios: S1 (real-world target population, approximated by a representative retrospective cohort or published aggregate event rates); S2 (RCT-enrolled equivalent, defined by applying published eligibility criteria to the retrospective cohort or using observed RCT event rates); and S3 (design-optimized, incorporating prognostic enrichment).</w:t>
      </w:r>
    </w:p>
    <w:p xmlns:a="http://schemas.openxmlformats.org/drawingml/2006/main" xmlns:pic="http://schemas.openxmlformats.org/drawingml/2006/picture">
      <w:pPr>
        <w:pStyle w:val="Normal"/>
        <w:spacing w:line="480" w:lineRule="auto" w:after="120"/>
      </w:pPr>
      <w:r>
        <w:rPr>
          <w:rFonts w:ascii="Times New Roman" w:hAnsi="Times New Roman" w:cs="Times New Roman" w:eastAsia="Times New Roman"/>
          <w:sz w:val="24"/>
          <w:szCs w:val="24"/>
        </w:rPr>
        <w:t xml:space="preserve">For each scenario, we compute the expected control event rate</w:t>
      </w:r>
      <w:r>
        <w:rPr>
          <w:rFonts w:ascii="Times New Roman" w:hAnsi="Times New Roman" w:cs="Times New Roman" w:eastAsia="Times New Roman"/>
          <w:sz w:val="24"/>
          <w:szCs w:val="24"/>
        </w:rPr>
        <w:t xml:space="preserve"> </w:t>
      </w:r>
      <m:oMath>
        <m:sSub>
          <m:e>
            <m:r>
              <m:t>p</m:t>
            </m:r>
          </m:e>
          <m:sub>
            <m:r>
              <m:t>c</m:t>
            </m:r>
          </m:sub>
        </m:sSub>
      </m:oMath>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and treatment event rate</w:t>
      </w:r>
      <w:r>
        <w:rPr>
          <w:rFonts w:ascii="Times New Roman" w:hAnsi="Times New Roman" w:cs="Times New Roman" w:eastAsia="Times New Roman"/>
          <w:sz w:val="24"/>
          <w:szCs w:val="24"/>
        </w:rPr>
        <w:t xml:space="preserve"> </w:t>
      </w:r>
      <m:oMath>
        <m:sSub>
          <m:e>
            <m:r>
              <m:t>p</m:t>
            </m:r>
          </m:e>
          <m:sub>
            <m:r>
              <m:t>t</m:t>
            </m:r>
          </m:sub>
        </m:sSub>
        <m:r>
          <m:rPr>
            <m:sty m:val="p"/>
          </m:rPr>
          <m:t>=</m:t>
        </m:r>
        <m:d>
          <m:dPr>
            <m:begChr m:val="("/>
            <m:endChr m:val=")"/>
            <m:sepChr m:val=""/>
            <m:grow/>
          </m:dPr>
          <m:e>
            <m:sSub>
              <m:e>
                <m:r>
                  <m:t>p</m:t>
                </m:r>
              </m:e>
              <m:sub>
                <m:r>
                  <m:t>c</m:t>
                </m:r>
              </m:sub>
            </m:sSub>
            <m:r>
              <m:rPr>
                <m:sty m:val="p"/>
              </m:rPr>
              <m:t>⋅</m:t>
            </m:r>
            <m:r>
              <m:rPr>
                <m:nor/>
                <m:sty m:val="p"/>
              </m:rPr>
              <m:t>OR</m:t>
            </m:r>
          </m:e>
        </m:d>
        <m:r>
          <m:rPr>
            <m:sty m:val="p"/>
          </m:rPr>
          <m:t>/</m:t>
        </m:r>
        <m:d>
          <m:dPr>
            <m:begChr m:val="("/>
            <m:endChr m:val=")"/>
            <m:sepChr m:val=""/>
            <m:grow/>
          </m:dPr>
          <m:e>
            <m:r>
              <m:t>1</m:t>
            </m:r>
            <m:r>
              <m:rPr>
                <m:sty m:val="p"/>
              </m:rPr>
              <m:t>−</m:t>
            </m:r>
            <m:sSub>
              <m:e>
                <m:r>
                  <m:t>p</m:t>
                </m:r>
              </m:e>
              <m:sub>
                <m:r>
                  <m:t>c</m:t>
                </m:r>
              </m:sub>
            </m:sSub>
            <m:r>
              <m:rPr>
                <m:sty m:val="p"/>
              </m:rPr>
              <m:t>+</m:t>
            </m:r>
            <m:sSub>
              <m:e>
                <m:r>
                  <m:t>p</m:t>
                </m:r>
              </m:e>
              <m:sub>
                <m:r>
                  <m:t>c</m:t>
                </m:r>
              </m:sub>
            </m:sSub>
            <m:r>
              <m:rPr>
                <m:sty m:val="p"/>
              </m:rPr>
              <m:t>⋅</m:t>
            </m:r>
            <m:r>
              <m:rPr>
                <m:nor/>
                <m:sty m:val="p"/>
              </m:rPr>
              <m:t>OR</m:t>
            </m:r>
          </m:e>
        </m:d>
      </m:oMath>
      <w:r>
        <w:rPr>
          <w:rFonts w:ascii="Times New Roman" w:hAnsi="Times New Roman" w:cs="Times New Roman" w:eastAsia="Times New Roman"/>
          <w:sz w:val="24"/>
          <w:szCs w:val="24"/>
        </w:rPr>
        <w:t xml:space="preserve">. The total expected number of events is</w:t>
      </w:r>
      <w:r>
        <w:rPr>
          <w:rFonts w:ascii="Times New Roman" w:hAnsi="Times New Roman" w:cs="Times New Roman" w:eastAsia="Times New Roman"/>
          <w:sz w:val="24"/>
          <w:szCs w:val="24"/>
        </w:rPr>
        <w:t xml:space="preserve"> </w:t>
      </w:r>
      <m:oMath>
        <m:r>
          <m:t>D</m:t>
        </m:r>
        <m:r>
          <m:rPr>
            <m:sty m:val="p"/>
          </m:rPr>
          <m:t>=</m:t>
        </m:r>
        <m:r>
          <m:t>N</m:t>
        </m:r>
        <m:d>
          <m:dPr>
            <m:begChr m:val="("/>
            <m:endChr m:val=")"/>
            <m:sepChr m:val=""/>
            <m:grow/>
          </m:dPr>
          <m:e>
            <m:sSub>
              <m:e>
                <m:r>
                  <m:t>p</m:t>
                </m:r>
              </m:e>
              <m:sub>
                <m:r>
                  <m:t>c</m:t>
                </m:r>
              </m:sub>
            </m:sSub>
            <m:r>
              <m:rPr>
                <m:sty m:val="p"/>
              </m:rPr>
              <m:t>+</m:t>
            </m:r>
            <m:sSub>
              <m:e>
                <m:r>
                  <m:t>p</m:t>
                </m:r>
              </m:e>
              <m:sub>
                <m:r>
                  <m:t>t</m:t>
                </m:r>
              </m:sub>
            </m:sSub>
          </m:e>
        </m:d>
        <m:r>
          <m:rPr>
            <m:sty m:val="p"/>
          </m:rPr>
          <m:t>/</m:t>
        </m:r>
        <m:r>
          <m:t>2</m:t>
        </m:r>
      </m:oMath>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for a trial of</w:t>
      </w:r>
      <w:r>
        <w:rPr>
          <w:rFonts w:ascii="Times New Roman" w:hAnsi="Times New Roman" w:cs="Times New Roman" w:eastAsia="Times New Roman"/>
          <w:sz w:val="24"/>
          <w:szCs w:val="24"/>
        </w:rPr>
        <w:t xml:space="preserve"> </w:t>
      </w:r>
      <m:oMath>
        <m:r>
          <m:t>N</m:t>
        </m:r>
      </m:oMath>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patients randomized 1:1. Under the Schoenfeld approximation [11], the standard error of the log-OR is approximately</w:t>
      </w:r>
      <w:r>
        <w:rPr>
          <w:rFonts w:ascii="Times New Roman" w:hAnsi="Times New Roman" w:cs="Times New Roman" w:eastAsia="Times New Roman"/>
          <w:sz w:val="24"/>
          <w:szCs w:val="24"/>
        </w:rPr>
        <w:t xml:space="preserve"> </w:t>
      </w:r>
      <m:oMath>
        <m:r>
          <m:t>2</m:t>
        </m:r>
        <m:r>
          <m:rPr>
            <m:sty m:val="p"/>
          </m:rPr>
          <m:t>/</m:t>
        </m:r>
        <m:rad>
          <m:radPr>
            <m:degHide m:val="on"/>
          </m:radPr>
          <m:deg/>
          <m:e>
            <m:r>
              <m:t>D</m:t>
            </m:r>
          </m:e>
        </m:rad>
      </m:oMath>
      <w:r>
        <w:rPr>
          <w:rFonts w:ascii="Times New Roman" w:hAnsi="Times New Roman" w:cs="Times New Roman" w:eastAsia="Times New Roman"/>
          <w:sz w:val="24"/>
          <w:szCs w:val="24"/>
        </w:rPr>
        <w:t xml:space="preserve">, yielding the power function</w:t>
      </w:r>
    </w:p>
    <w:p xmlns:a="http://schemas.openxmlformats.org/drawingml/2006/main" xmlns:pic="http://schemas.openxmlformats.org/drawingml/2006/picture">
      <w:pPr>
        <w:pStyle w:val="Normal"/>
        <w:jc w:val="center"/>
        <w:spacing w:line="480" w:lineRule="auto" w:after="120"/>
      </w:pPr>
      <m:oMathPara>
        <m:oMathParaPr>
          <m:jc m:val="center"/>
        </m:oMathParaPr>
        <m:oMath>
          <m:r>
            <m:rPr>
              <m:nor/>
              <m:sty m:val="p"/>
            </m:rPr>
            <m:t>Power</m:t>
          </m:r>
          <m:r>
            <m:rPr>
              <m:sty m:val="p"/>
            </m:rPr>
            <m:t>=</m:t>
          </m:r>
          <m:r>
            <m:t>Φ</m:t>
          </m:r>
          <m:d>
            <m:dPr>
              <m:begChr m:val="("/>
              <m:endChr m:val=")"/>
              <m:sepChr m:val=""/>
              <m:grow/>
            </m:dPr>
            <m:e>
              <m:d>
                <m:dPr>
                  <m:begChr m:val="|"/>
                  <m:endChr m:val="|"/>
                  <m:sepChr m:val=""/>
                  <m:grow/>
                </m:dPr>
                <m:e>
                  <m:r>
                    <m:rPr>
                      <m:sty m:val="p"/>
                    </m:rPr>
                    <m:t>log</m:t>
                  </m:r>
                  <m:d>
                    <m:dPr>
                      <m:begChr m:val="("/>
                      <m:endChr m:val=")"/>
                      <m:sepChr m:val=""/>
                      <m:grow/>
                    </m:dPr>
                    <m:e>
                      <m:r>
                        <m:rPr>
                          <m:nor/>
                          <m:sty m:val="p"/>
                        </m:rPr>
                        <m:t>OR</m:t>
                      </m:r>
                    </m:e>
                  </m:d>
                </m:e>
              </m:d>
              <m:r>
                <m:rPr>
                  <m:sty m:val="p"/>
                </m:rPr>
                <m:t>⋅</m:t>
              </m:r>
              <m:rad>
                <m:radPr>
                  <m:degHide m:val="on"/>
                </m:radPr>
                <m:deg/>
                <m:e>
                  <m:r>
                    <m:t>D</m:t>
                  </m:r>
                </m:e>
              </m:rad>
              <m:r>
                <m:rPr>
                  <m:sty m:val="p"/>
                </m:rPr>
                <m:t>/</m:t>
              </m:r>
              <m:r>
                <m:t>2</m:t>
              </m:r>
              <m:r>
                <m:rPr>
                  <m:sty m:val="p"/>
                </m:rPr>
                <m:t>−</m:t>
              </m:r>
              <m:sSub>
                <m:e>
                  <m:r>
                    <m:t>z</m:t>
                  </m:r>
                </m:e>
                <m:sub>
                  <m:r>
                    <m:t>α</m:t>
                  </m:r>
                  <m:r>
                    <m:rPr>
                      <m:sty m:val="p"/>
                    </m:rPr>
                    <m:t>/</m:t>
                  </m:r>
                  <m:r>
                    <m:t>2</m:t>
                  </m:r>
                </m:sub>
              </m:sSub>
            </m:e>
          </m:d>
        </m:oMath>
      </m:oMathPara>
    </w:p>
    <w:p xmlns:a="http://schemas.openxmlformats.org/drawingml/2006/main" xmlns:pic="http://schemas.openxmlformats.org/drawingml/2006/picture">
      <w:pPr>
        <w:pStyle w:val="Normal"/>
        <w:spacing w:line="480" w:lineRule="auto" w:after="120"/>
      </w:pPr>
      <w:r>
        <w:rPr>
          <w:rFonts w:ascii="Times New Roman" w:hAnsi="Times New Roman" w:cs="Times New Roman" w:eastAsia="Times New Roman"/>
          <w:sz w:val="24"/>
          <w:szCs w:val="24"/>
        </w:rPr>
        <w:t xml:space="preserve">where</w:t>
      </w:r>
      <w:r>
        <w:rPr>
          <w:rFonts w:ascii="Times New Roman" w:hAnsi="Times New Roman" w:cs="Times New Roman" w:eastAsia="Times New Roman"/>
          <w:sz w:val="24"/>
          <w:szCs w:val="24"/>
        </w:rPr>
        <w:t xml:space="preserve"> </w:t>
      </w:r>
      <m:oMath>
        <m:r>
          <m:t>Φ</m:t>
        </m:r>
      </m:oMath>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is the standard normal cumulative distribution function. The ratio</w:t>
      </w:r>
      <w:r>
        <w:rPr>
          <w:rFonts w:ascii="Times New Roman" w:hAnsi="Times New Roman" w:cs="Times New Roman" w:eastAsia="Times New Roman"/>
          <w:sz w:val="24"/>
          <w:szCs w:val="24"/>
        </w:rPr>
        <w:t xml:space="preserve"> </w:t>
      </w:r>
      <m:oMath>
        <m:r>
          <m:t>ρ</m:t>
        </m:r>
        <m:r>
          <m:rPr>
            <m:sty m:val="p"/>
          </m:rPr>
          <m:t>=</m:t>
        </m:r>
        <m:sSubSup>
          <m:e>
            <m:r>
              <m:t>p</m:t>
            </m:r>
          </m:e>
          <m:sub>
            <m:r>
              <m:t>c</m:t>
            </m:r>
          </m:sub>
          <m:sup>
            <m:d>
              <m:dPr>
                <m:begChr m:val="("/>
                <m:endChr m:val=")"/>
                <m:sepChr m:val=""/>
                <m:grow/>
              </m:dPr>
              <m:e>
                <m:r>
                  <m:t>S</m:t>
                </m:r>
                <m:r>
                  <m:t>2</m:t>
                </m:r>
              </m:e>
            </m:d>
          </m:sup>
        </m:sSubSup>
        <m:r>
          <m:rPr>
            <m:sty m:val="p"/>
          </m:rPr>
          <m:t>/</m:t>
        </m:r>
        <m:sSubSup>
          <m:e>
            <m:r>
              <m:t>p</m:t>
            </m:r>
          </m:e>
          <m:sub>
            <m:r>
              <m:t>c</m:t>
            </m:r>
          </m:sub>
          <m:sup>
            <m:d>
              <m:dPr>
                <m:begChr m:val="("/>
                <m:endChr m:val=")"/>
                <m:sepChr m:val=""/>
                <m:grow/>
              </m:dPr>
              <m:e>
                <m:r>
                  <m:t>S</m:t>
                </m:r>
                <m:r>
                  <m:t>1</m:t>
                </m:r>
              </m:e>
            </m:d>
          </m:sup>
        </m:sSubSup>
      </m:oMath>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quantifies event dilution. Module K reports power across a grid of assumed true effects and computes the sample size required to reach 80% power under each scenario.</w:t>
      </w:r>
    </w:p>
    <w:p>
      <w:pPr>
        <w:pStyle w:val="Heading3"/>
      </w:pPr>
      <w:r>
        <w:rPr>
          <w:rFonts w:ascii="Times New Roman" w:hAnsi="Times New Roman"/>
          <w:b/>
          <w:color w:val="000000"/>
          <w:sz w:val="24"/>
        </w:rPr>
        <w:t>Module T: Hierarchical Bayesian evidence integration</w:t>
      </w:r>
    </w:p>
    <w:p xmlns:a="http://schemas.openxmlformats.org/drawingml/2006/main" xmlns:pic="http://schemas.openxmlformats.org/drawingml/2006/picture">
      <w:pPr>
        <w:pStyle w:val="Normal"/>
        <w:spacing w:line="480" w:lineRule="auto" w:after="120"/>
      </w:pPr>
      <w:r>
        <w:rPr>
          <w:rFonts w:ascii="Times New Roman" w:hAnsi="Times New Roman" w:cs="Times New Roman" w:eastAsia="Times New Roman"/>
          <w:sz w:val="24"/>
          <w:szCs w:val="24"/>
        </w:rPr>
        <w:t xml:space="preserve">When Module K indicates that RCT evidence is informationally insufficient, Module T combines RCT and observational evidence while explicitly modeling design-specific bias. Let</w:t>
      </w:r>
      <w:r>
        <w:rPr>
          <w:rFonts w:ascii="Times New Roman" w:hAnsi="Times New Roman" w:cs="Times New Roman" w:eastAsia="Times New Roman"/>
          <w:sz w:val="24"/>
          <w:szCs w:val="24"/>
        </w:rPr>
        <w:t xml:space="preserve"> </w:t>
      </w:r>
      <m:oMath>
        <m:sSub>
          <m:e>
            <m:r>
              <m:t>y</m:t>
            </m:r>
          </m:e>
          <m:sub>
            <m:r>
              <m:t>i</m:t>
            </m:r>
          </m:sub>
        </m:sSub>
      </m:oMath>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denote the reported log effect size from study</w:t>
      </w:r>
      <w:r>
        <w:rPr>
          <w:rFonts w:ascii="Times New Roman" w:hAnsi="Times New Roman" w:cs="Times New Roman" w:eastAsia="Times New Roman"/>
          <w:sz w:val="24"/>
          <w:szCs w:val="24"/>
        </w:rPr>
        <w:t xml:space="preserve"> </w:t>
      </w:r>
      <m:oMath>
        <m:r>
          <m:t>i</m:t>
        </m:r>
      </m:oMath>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with standard error</w:t>
      </w:r>
      <w:r>
        <w:rPr>
          <w:rFonts w:ascii="Times New Roman" w:hAnsi="Times New Roman" w:cs="Times New Roman" w:eastAsia="Times New Roman"/>
          <w:sz w:val="24"/>
          <w:szCs w:val="24"/>
        </w:rPr>
        <w:t xml:space="preserve"> </w:t>
      </w:r>
      <m:oMath>
        <m:sSub>
          <m:e>
            <m:r>
              <m:t>s</m:t>
            </m:r>
          </m:e>
          <m:sub>
            <m:r>
              <m:t>i</m:t>
            </m:r>
          </m:sub>
        </m:sSub>
      </m:oMath>
      <w:r>
        <w:rPr>
          <w:rFonts w:ascii="Times New Roman" w:hAnsi="Times New Roman" w:cs="Times New Roman" w:eastAsia="Times New Roman"/>
          <w:sz w:val="24"/>
          <w:szCs w:val="24"/>
        </w:rPr>
        <w:t xml:space="preserve">. The model is</w:t>
      </w:r>
      <w:r>
        <w:rPr>
          <w:rFonts w:ascii="Times New Roman" w:hAnsi="Times New Roman" w:cs="Times New Roman" w:eastAsia="Times New Roman"/>
          <w:sz w:val="24"/>
          <w:szCs w:val="24"/>
        </w:rPr>
        <w:t xml:space="preserve"> </w:t>
      </w:r>
      <m:oMath>
        <m:sSub>
          <m:e>
            <m:r>
              <m:t>y</m:t>
            </m:r>
          </m:e>
          <m:sub>
            <m:r>
              <m:t>i</m:t>
            </m:r>
          </m:sub>
        </m:sSub>
        <m:r>
          <m:rPr>
            <m:sty m:val="p"/>
          </m:rPr>
          <m:t>∼</m:t>
        </m:r>
        <m:r>
          <m:rPr>
            <m:nor/>
            <m:sty m:val="p"/>
          </m:rPr>
          <m:t>Normal</m:t>
        </m:r>
        <m:d>
          <m:dPr>
            <m:begChr m:val="("/>
            <m:endChr m:val=")"/>
            <m:sepChr m:val=""/>
            <m:grow/>
          </m:dPr>
          <m:e>
            <m:sSub>
              <m:e>
                <m:r>
                  <m:t>θ</m:t>
                </m:r>
              </m:e>
              <m:sub>
                <m:r>
                  <m:t>i</m:t>
                </m:r>
              </m:sub>
            </m:sSub>
            <m:r>
              <m:rPr>
                <m:sty m:val="p"/>
              </m:rPr>
              <m:t>,</m:t>
            </m:r>
            <m:sSubSup>
              <m:e>
                <m:r>
                  <m:t>s</m:t>
                </m:r>
              </m:e>
              <m:sub>
                <m:r>
                  <m:t>i</m:t>
                </m:r>
              </m:sub>
              <m:sup>
                <m:r>
                  <m:t>2</m:t>
                </m:r>
              </m:sup>
            </m:sSubSup>
          </m:e>
        </m:d>
      </m:oMath>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and</w:t>
      </w:r>
      <w:r>
        <w:rPr>
          <w:rFonts w:ascii="Times New Roman" w:hAnsi="Times New Roman" w:cs="Times New Roman" w:eastAsia="Times New Roman"/>
          <w:sz w:val="24"/>
          <w:szCs w:val="24"/>
        </w:rPr>
        <w:t xml:space="preserve"> </w:t>
      </w:r>
      <m:oMath>
        <m:sSub>
          <m:e>
            <m:r>
              <m:t>θ</m:t>
            </m:r>
          </m:e>
          <m:sub>
            <m:r>
              <m:t>i</m:t>
            </m:r>
          </m:sub>
        </m:sSub>
        <m:r>
          <m:rPr>
            <m:sty m:val="p"/>
          </m:rPr>
          <m:t>=</m:t>
        </m:r>
        <m:r>
          <m:t>μ</m:t>
        </m:r>
        <m:r>
          <m:rPr>
            <m:sty m:val="p"/>
          </m:rPr>
          <m:t>+</m:t>
        </m:r>
        <m:sSub>
          <m:e>
            <m:r>
              <m:t>u</m:t>
            </m:r>
          </m:e>
          <m:sub>
            <m:r>
              <m:t>i</m:t>
            </m:r>
          </m:sub>
        </m:sSub>
        <m:r>
          <m:rPr>
            <m:sty m:val="p"/>
          </m:rPr>
          <m:t>+</m:t>
        </m:r>
        <m:sSub>
          <m:e>
            <m:r>
              <m:t>b</m:t>
            </m:r>
          </m:e>
          <m:sub>
            <m:r>
              <m:t>i</m:t>
            </m:r>
          </m:sub>
        </m:sSub>
      </m:oMath>
      <w:r>
        <w:rPr>
          <w:rFonts w:ascii="Times New Roman" w:hAnsi="Times New Roman" w:cs="Times New Roman" w:eastAsia="Times New Roman"/>
          <w:sz w:val="24"/>
          <w:szCs w:val="24"/>
        </w:rPr>
        <w:t xml:space="preserve">, where</w:t>
      </w:r>
      <w:r>
        <w:rPr>
          <w:rFonts w:ascii="Times New Roman" w:hAnsi="Times New Roman" w:cs="Times New Roman" w:eastAsia="Times New Roman"/>
          <w:sz w:val="24"/>
          <w:szCs w:val="24"/>
        </w:rPr>
        <w:t xml:space="preserve"> </w:t>
      </w:r>
      <m:oMath>
        <m:r>
          <m:t>μ</m:t>
        </m:r>
      </m:oMath>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is the overall effect,</w:t>
      </w:r>
      <w:r>
        <w:rPr>
          <w:rFonts w:ascii="Times New Roman" w:hAnsi="Times New Roman" w:cs="Times New Roman" w:eastAsia="Times New Roman"/>
          <w:sz w:val="24"/>
          <w:szCs w:val="24"/>
        </w:rPr>
        <w:t xml:space="preserve"> </w:t>
      </w:r>
      <m:oMath>
        <m:sSub>
          <m:e>
            <m:r>
              <m:t>u</m:t>
            </m:r>
          </m:e>
          <m:sub>
            <m:r>
              <m:t>i</m:t>
            </m:r>
          </m:sub>
        </m:sSub>
        <m:r>
          <m:rPr>
            <m:sty m:val="p"/>
          </m:rPr>
          <m:t>∼</m:t>
        </m:r>
        <m:r>
          <m:rPr>
            <m:nor/>
            <m:sty m:val="p"/>
          </m:rPr>
          <m:t>Normal</m:t>
        </m:r>
        <m:d>
          <m:dPr>
            <m:begChr m:val="("/>
            <m:endChr m:val=")"/>
            <m:sepChr m:val=""/>
            <m:grow/>
          </m:dPr>
          <m:e>
            <m:r>
              <m:t>0</m:t>
            </m:r>
            <m:r>
              <m:rPr>
                <m:sty m:val="p"/>
              </m:rPr>
              <m:t>,</m:t>
            </m:r>
            <m:sSup>
              <m:e>
                <m:r>
                  <m:t>τ</m:t>
                </m:r>
              </m:e>
              <m:sup>
                <m:r>
                  <m:t>2</m:t>
                </m:r>
              </m:sup>
            </m:sSup>
          </m:e>
        </m:d>
      </m:oMath>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captures between-study heterogeneity, and</w:t>
      </w:r>
      <w:r>
        <w:rPr>
          <w:rFonts w:ascii="Times New Roman" w:hAnsi="Times New Roman" w:cs="Times New Roman" w:eastAsia="Times New Roman"/>
          <w:sz w:val="24"/>
          <w:szCs w:val="24"/>
        </w:rPr>
        <w:t xml:space="preserve"> </w:t>
      </w:r>
      <m:oMath>
        <m:sSub>
          <m:e>
            <m:r>
              <m:t>b</m:t>
            </m:r>
          </m:e>
          <m:sub>
            <m:r>
              <m:t>i</m:t>
            </m:r>
          </m:sub>
        </m:sSub>
      </m:oMath>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captures design-specific bias. Alternative effect measures such as restricted mean survival time can be substituted when proportional-hazards assumptions are questionable [12-13]. Evidence-based priors have been proposed to anchor historical expectations while limiting prior-data conflict [14]. We use power-prior discounting [15] to down-weight observational evidence by a factor</w:t>
      </w:r>
      <w:r>
        <w:rPr>
          <w:rFonts w:ascii="Times New Roman" w:hAnsi="Times New Roman" w:cs="Times New Roman" w:eastAsia="Times New Roman"/>
          <w:sz w:val="24"/>
          <w:szCs w:val="24"/>
        </w:rPr>
        <w:t xml:space="preserve"> </w:t>
      </w:r>
      <m:oMath>
        <m:r>
          <m:t>α</m:t>
        </m:r>
        <m:r>
          <m:rPr>
            <m:sty m:val="p"/>
          </m:rPr>
          <m:t>∈</m:t>
        </m:r>
        <m:d>
          <m:dPr>
            <m:begChr m:val="["/>
            <m:endChr m:val="]"/>
            <m:sepChr m:val=""/>
            <m:grow/>
          </m:dPr>
          <m:e>
            <m:r>
              <m:t>0</m:t>
            </m:r>
            <m:r>
              <m:rPr>
                <m:sty m:val="p"/>
              </m:rPr>
              <m:t>,</m:t>
            </m:r>
            <m:r>
              <m:t>1</m:t>
            </m:r>
          </m:e>
        </m:d>
      </m:oMath>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and also present bias-adjusted normal-approximation analyses. Posterior distributions are obtained by Metropolis-Hastings MCMC (15,000 post-warmup iterations after 3,000 warmup) for each</w:t>
      </w:r>
      <w:r>
        <w:rPr>
          <w:rFonts w:ascii="Times New Roman" w:hAnsi="Times New Roman" w:cs="Times New Roman" w:eastAsia="Times New Roman"/>
          <w:sz w:val="24"/>
          <w:szCs w:val="24"/>
        </w:rPr>
        <w:t xml:space="preserve"> </w:t>
      </w:r>
      <m:oMath>
        <m:r>
          <m:t>α</m:t>
        </m:r>
      </m:oMath>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in</w:t>
      </w:r>
      <w:r>
        <w:rPr>
          <w:rFonts w:ascii="Times New Roman" w:hAnsi="Times New Roman" w:cs="Times New Roman" w:eastAsia="Times New Roman"/>
          <w:sz w:val="24"/>
          <w:szCs w:val="24"/>
        </w:rPr>
        <w:t xml:space="preserve"> </w:t>
      </w:r>
      <m:oMath>
        <m:d>
          <m:dPr>
            <m:begChr m:val="("/>
            <m:endChr m:val=")"/>
            <m:sepChr m:val=""/>
            <m:grow/>
          </m:dPr>
          <m:e>
            <m:r>
              <m:t>0</m:t>
            </m:r>
            <m:r>
              <m:rPr>
                <m:sty m:val="p"/>
              </m:rPr>
              <m:t>,</m:t>
            </m:r>
            <m:r>
              <m:t>0.1</m:t>
            </m:r>
            <m:r>
              <m:rPr>
                <m:sty m:val="p"/>
              </m:rPr>
              <m:t>,</m:t>
            </m:r>
            <m:r>
              <m:t>0.2</m:t>
            </m:r>
            <m:r>
              <m:rPr>
                <m:sty m:val="p"/>
              </m:rPr>
              <m:t>,</m:t>
            </m:r>
            <m:r>
              <m:t>0.3</m:t>
            </m:r>
            <m:r>
              <m:rPr>
                <m:sty m:val="p"/>
              </m:rPr>
              <m:t>,</m:t>
            </m:r>
            <m:r>
              <m:t>0.5</m:t>
            </m:r>
            <m:r>
              <m:rPr>
                <m:sty m:val="p"/>
              </m:rPr>
              <m:t>,</m:t>
            </m:r>
            <m:r>
              <m:t>0.7</m:t>
            </m:r>
            <m:r>
              <m:rPr>
                <m:sty m:val="p"/>
              </m:rPr>
              <m:t>,</m:t>
            </m:r>
            <m:r>
              <m:t>1.0</m:t>
            </m:r>
          </m:e>
        </m:d>
      </m:oMath>
      <w:r>
        <w:rPr>
          <w:rFonts w:ascii="Times New Roman" w:hAnsi="Times New Roman" w:cs="Times New Roman" w:eastAsia="Times New Roman"/>
          <w:sz w:val="24"/>
          <w:szCs w:val="24"/>
        </w:rPr>
        <w:t xml:space="preserve">.</w:t>
      </w:r>
    </w:p>
    <w:p>
      <w:pPr>
        <w:pStyle w:val="Heading3"/>
      </w:pPr>
      <w:r>
        <w:rPr>
          <w:rFonts w:ascii="Times New Roman" w:hAnsi="Times New Roman"/>
          <w:b/>
          <w:color w:val="000000"/>
          <w:sz w:val="24"/>
        </w:rPr>
        <w:t>Module H: Guideline interpretation</w:t>
      </w:r>
    </w:p>
    <w:p xmlns:a="http://schemas.openxmlformats.org/drawingml/2006/main" xmlns:pic="http://schemas.openxmlformats.org/drawingml/2006/picture">
      <w:pPr>
        <w:pStyle w:val="Normal"/>
        <w:spacing w:line="480" w:lineRule="auto" w:after="120"/>
      </w:pPr>
      <w:r>
        <w:rPr>
          <w:rFonts w:ascii="Times New Roman" w:hAnsi="Times New Roman" w:cs="Times New Roman" w:eastAsia="Times New Roman"/>
          <w:sz w:val="24"/>
          <w:szCs w:val="24"/>
        </w:rPr>
        <w:t xml:space="preserve">Module H maps the outputs of Modules K and T onto the GRADE framework [1]. It includes five assessments (Table 2): information sufficiency (OIS vs observed events), confidence interval interpretation, representativeness (event rate ratio), TSA boundary status, and recommended language. The result is a KOTHA-enhanced certainty rating and recommendation that explicitly distinguishes</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w:t>
      </w:r>
      <w:r>
        <w:rPr>
          <w:rFonts w:ascii="Times New Roman" w:hAnsi="Times New Roman" w:cs="Times New Roman" w:eastAsia="Times New Roman"/>
          <w:sz w:val="24"/>
          <w:szCs w:val="24"/>
        </w:rPr>
        <w:t xml:space="preserve">evidence of effect,</w:t>
      </w:r>
      <w:r>
        <w:rPr>
          <w:rFonts w:ascii="Times New Roman" w:hAnsi="Times New Roman" w:cs="Times New Roman" w:eastAsia="Times New Roman"/>
          <w:sz w:val="24"/>
          <w:szCs w:val="24"/>
        </w:rPr>
        <w:t xml:space="preserve">”</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w:t>
      </w:r>
      <w:r>
        <w:rPr>
          <w:rFonts w:ascii="Times New Roman" w:hAnsi="Times New Roman" w:cs="Times New Roman" w:eastAsia="Times New Roman"/>
          <w:sz w:val="24"/>
          <w:szCs w:val="24"/>
        </w:rPr>
        <w:t xml:space="preserve">evidence of no effect,</w:t>
      </w:r>
      <w:r>
        <w:rPr>
          <w:rFonts w:ascii="Times New Roman" w:hAnsi="Times New Roman" w:cs="Times New Roman" w:eastAsia="Times New Roman"/>
          <w:sz w:val="24"/>
          <w:szCs w:val="24"/>
        </w:rPr>
        <w:t xml:space="preserve">”</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and</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w:t>
      </w:r>
      <w:r>
        <w:rPr>
          <w:rFonts w:ascii="Times New Roman" w:hAnsi="Times New Roman" w:cs="Times New Roman" w:eastAsia="Times New Roman"/>
          <w:sz w:val="24"/>
          <w:szCs w:val="24"/>
        </w:rPr>
        <w:t xml:space="preserve">no evidence of effect (inconclusive).</w:t>
      </w:r>
      <w:r>
        <w:rPr>
          <w:rFonts w:ascii="Times New Roman" w:hAnsi="Times New Roman" w:cs="Times New Roman" w:eastAsia="Times New Roman"/>
          <w:sz w:val="24"/>
          <w:szCs w:val="24"/>
        </w:rPr>
        <w:t xml:space="preserve">”</w:t>
      </w:r>
    </w:p>
    <w:p>
      <w:pPr>
        <w:pStyle w:val="Heading3"/>
      </w:pPr>
      <w:r>
        <w:rPr>
          <w:rFonts w:ascii="Times New Roman" w:hAnsi="Times New Roman"/>
          <w:b/>
          <w:color w:val="000000"/>
          <w:sz w:val="24"/>
        </w:rPr>
        <w:t>Data sources and statistical analysis</w:t>
      </w:r>
    </w:p>
    <w:p xmlns:a="http://schemas.openxmlformats.org/drawingml/2006/main" xmlns:pic="http://schemas.openxmlformats.org/drawingml/2006/picture">
      <w:pPr>
        <w:pStyle w:val="Normal"/>
        <w:spacing w:line="480" w:lineRule="auto" w:after="120"/>
      </w:pPr>
      <w:r>
        <w:rPr>
          <w:rFonts w:ascii="Times New Roman" w:hAnsi="Times New Roman" w:cs="Times New Roman" w:eastAsia="Times New Roman"/>
          <w:sz w:val="24"/>
          <w:szCs w:val="24"/>
        </w:rPr>
        <w:t xml:space="preserve">For magnesium in AMI we used study-level event counts extracted from published overviews [16-17]. For statins in heart failure we used aggregate data from five observational cohorts [18-22] and two RCTs [23-24]. We used DerSimonian-Laird random-effects meta-analysis and computed 95% confidence intervals. OIS and TSA were calculated using standard formulas [6-9]. All analyses were performed with the Python code in the public repository.</w:t>
      </w:r>
    </w:p>
    <w:p>
      <w:pPr>
        <w:jc w:val="center"/>
      </w:pPr>
      <w:r>
        <w:drawing>
          <wp:inline xmlns:a="http://schemas.openxmlformats.org/drawingml/2006/main" xmlns:pic="http://schemas.openxmlformats.org/drawingml/2006/picture">
            <wp:extent cx="5029200" cy="3536255"/>
            <wp:docPr id="1" name="Picture 1"/>
            <wp:cNvGraphicFramePr>
              <a:graphicFrameLocks noChangeAspect="1"/>
            </wp:cNvGraphicFramePr>
            <a:graphic>
              <a:graphicData uri="http://schemas.openxmlformats.org/drawingml/2006/picture">
                <pic:pic>
                  <pic:nvPicPr>
                    <pic:cNvPr id="0" name="fig1_framework_overview.png"/>
                    <pic:cNvPicPr/>
                  </pic:nvPicPr>
                  <pic:blipFill>
                    <a:blip r:embed="rId9"/>
                    <a:stretch>
                      <a:fillRect/>
                    </a:stretch>
                  </pic:blipFill>
                  <pic:spPr>
                    <a:xfrm>
                      <a:off x="0" y="0"/>
                      <a:ext cx="5029200" cy="3536255"/>
                    </a:xfrm>
                    <a:prstGeom prst="rect"/>
                  </pic:spPr>
                </pic:pic>
              </a:graphicData>
            </a:graphic>
          </wp:inline>
        </w:drawing>
      </w:r>
    </w:p>
    <w:p>
      <w:pPr>
        <w:jc w:val="left"/>
      </w:pPr>
      <w:r>
        <w:rPr>
          <w:rFonts w:ascii="Times New Roman" w:hAnsi="Times New Roman"/>
          <w:b/>
          <w:sz w:val="20"/>
        </w:rPr>
        <w:t xml:space="preserve">Figure 1. </w:t>
      </w:r>
      <w:r>
        <w:rPr>
          <w:rFonts w:ascii="Times New Roman" w:hAnsi="Times New Roman"/>
          <w:sz w:val="20"/>
        </w:rPr>
        <w:t>Overview of the KOTHA Framework. Module K (Counterfactual Power Simulation) quantifies risk-profile shift and estimates power under counterfactual enrollment scenarios. Module T (Bayesian Evidence Integration) combines RCT and observational evidence using power-prior discounting. Module H (Guideline Interpreter) synthesizes outputs into a structured GRADE-compatible assessment.</w:t>
      </w:r>
    </w:p>
    <w:p>
      <w:r>
        <w:rPr>
          <w:rFonts w:ascii="Times New Roman" w:hAnsi="Times New Roman"/>
          <w:b/>
          <w:i w:val="0"/>
          <w:sz w:val="24"/>
        </w:rPr>
        <w:t>Table 2: Module H assessment checklist mapped to GRADE domains</w:t>
      </w:r>
    </w:p>
    <w:tbl xmlns:a="http://schemas.openxmlformats.org/drawingml/2006/main" xmlns:pic="http://schemas.openxmlformats.org/drawingml/2006/picture">
      <w:tblPr>
        <w:tblStyle w:val="Table Grid"/>
        <w:tblW w:type="pct" w:w="5000"/>
        <w:tblLook w:firstRow="1" w:lastRow="0" w:firstColumn="0" w:lastColumn="0" w:noHBand="0" w:noVBand="0" w:val="0020"/>
        <w:jc w:val="center"/>
        <w:tblLayout w:type="fixed"/>
      </w:tblPr>
      <w:tblGrid>
        <w:gridCol w:w="1980"/>
        <w:gridCol w:w="1980"/>
        <w:gridCol w:w="1980"/>
        <w:gridCol w:w="1980"/>
      </w:tblGrid>
      <w:tr>
        <w:trPr>
          <w:tblHeader w:val="true"/>
        </w:trPr>
        <w:tc>
          <w:tcPr/>
          <w:p>
            <w:pPr>
              <w:pStyle w:val="Normal"/>
              <w:jc w:val="left"/>
              <w:spacing w:line="240" w:lineRule="auto" w:after="0"/>
            </w:pPr>
            <w:r>
              <w:rPr>
                <w:rFonts w:ascii="Times New Roman" w:hAnsi="Times New Roman" w:cs="Times New Roman" w:eastAsia="Times New Roman"/>
                <w:sz w:val="20"/>
                <w:szCs w:val="20"/>
                <w:b/>
              </w:rPr>
              <w:t xml:space="preserve">Module H assessment</w:t>
            </w:r>
          </w:p>
        </w:tc>
        <w:tc>
          <w:tcPr/>
          <w:p>
            <w:pPr>
              <w:pStyle w:val="Normal"/>
              <w:jc w:val="left"/>
              <w:spacing w:line="240" w:lineRule="auto" w:after="0"/>
            </w:pPr>
            <w:r>
              <w:rPr>
                <w:rFonts w:ascii="Times New Roman" w:hAnsi="Times New Roman" w:cs="Times New Roman" w:eastAsia="Times New Roman"/>
                <w:sz w:val="20"/>
                <w:szCs w:val="20"/>
                <w:b/>
              </w:rPr>
              <w:t xml:space="preserve">GRADE domain</w:t>
            </w:r>
          </w:p>
        </w:tc>
        <w:tc>
          <w:tcPr/>
          <w:p>
            <w:pPr>
              <w:pStyle w:val="Normal"/>
              <w:jc w:val="left"/>
              <w:spacing w:line="240" w:lineRule="auto" w:after="0"/>
            </w:pPr>
            <w:r>
              <w:rPr>
                <w:rFonts w:ascii="Times New Roman" w:hAnsi="Times New Roman" w:cs="Times New Roman" w:eastAsia="Times New Roman"/>
                <w:sz w:val="20"/>
                <w:szCs w:val="20"/>
                <w:b/>
              </w:rPr>
              <w:t xml:space="preserve">Analytical tool</w:t>
            </w:r>
          </w:p>
        </w:tc>
        <w:tc>
          <w:tcPr/>
          <w:p>
            <w:pPr>
              <w:pStyle w:val="Normal"/>
              <w:jc w:val="left"/>
              <w:spacing w:line="240" w:lineRule="auto" w:after="0"/>
            </w:pPr>
            <w:r>
              <w:rPr>
                <w:rFonts w:ascii="Times New Roman" w:hAnsi="Times New Roman" w:cs="Times New Roman" w:eastAsia="Times New Roman"/>
                <w:sz w:val="20"/>
                <w:szCs w:val="20"/>
                <w:b/>
              </w:rPr>
              <w:t xml:space="preserve">Decision criterion</w:t>
            </w:r>
          </w:p>
        </w:tc>
      </w:tr>
      <w:tr>
        <w:tc>
          <w:tcPr/>
          <w:p>
            <w:pPr>
              <w:pStyle w:val="Normal"/>
              <w:jc w:val="left"/>
              <w:spacing w:line="240" w:lineRule="auto" w:after="0"/>
            </w:pPr>
            <w:r>
              <w:rPr>
                <w:rFonts w:ascii="Times New Roman" w:hAnsi="Times New Roman" w:cs="Times New Roman" w:eastAsia="Times New Roman"/>
                <w:sz w:val="20"/>
                <w:szCs w:val="20"/>
              </w:rPr>
              <w:t xml:space="preserve">Information sufficiency</w:t>
            </w:r>
          </w:p>
        </w:tc>
        <w:tc>
          <w:tcPr/>
          <w:p>
            <w:pPr>
              <w:pStyle w:val="Normal"/>
              <w:jc w:val="left"/>
              <w:spacing w:line="240" w:lineRule="auto" w:after="0"/>
            </w:pPr>
            <w:r>
              <w:rPr>
                <w:rFonts w:ascii="Times New Roman" w:hAnsi="Times New Roman" w:cs="Times New Roman" w:eastAsia="Times New Roman"/>
                <w:sz w:val="20"/>
                <w:szCs w:val="20"/>
              </w:rPr>
              <w:t xml:space="preserve">Imprecision</w:t>
            </w:r>
          </w:p>
        </w:tc>
        <w:tc>
          <w:tcPr/>
          <w:p>
            <w:pPr>
              <w:pStyle w:val="Normal"/>
              <w:jc w:val="left"/>
              <w:spacing w:line="240" w:lineRule="auto" w:after="0"/>
            </w:pPr>
            <w:r>
              <w:rPr>
                <w:rFonts w:ascii="Times New Roman" w:hAnsi="Times New Roman" w:cs="Times New Roman" w:eastAsia="Times New Roman"/>
                <w:sz w:val="20"/>
                <w:szCs w:val="20"/>
              </w:rPr>
              <w:t xml:space="preserve">OIS calculation</w:t>
            </w:r>
          </w:p>
        </w:tc>
        <w:tc>
          <w:tcPr/>
          <w:p>
            <w:pPr>
              <w:pStyle w:val="Normal"/>
              <w:jc w:val="left"/>
              <w:spacing w:line="240" w:lineRule="auto" w:after="0"/>
            </w:pPr>
            <w:r>
              <w:rPr>
                <w:rFonts w:ascii="Times New Roman" w:hAnsi="Times New Roman" w:cs="Times New Roman" w:eastAsia="Times New Roman"/>
                <w:sz w:val="20"/>
                <w:szCs w:val="20"/>
              </w:rPr>
              <w:t xml:space="preserve">Total events &lt; OIS: informationally insufficient</w:t>
            </w:r>
          </w:p>
        </w:tc>
      </w:tr>
      <w:tr>
        <w:tc>
          <w:tcPr/>
          <w:p>
            <w:pPr>
              <w:pStyle w:val="Normal"/>
              <w:jc w:val="left"/>
              <w:spacing w:line="240" w:lineRule="auto" w:after="0"/>
            </w:pPr>
            <w:r>
              <w:rPr>
                <w:rFonts w:ascii="Times New Roman" w:hAnsi="Times New Roman" w:cs="Times New Roman" w:eastAsia="Times New Roman"/>
                <w:sz w:val="20"/>
                <w:szCs w:val="20"/>
              </w:rPr>
              <w:t xml:space="preserve">CI assessment</w:t>
            </w:r>
          </w:p>
        </w:tc>
        <w:tc>
          <w:tcPr/>
          <w:p>
            <w:pPr>
              <w:pStyle w:val="Normal"/>
              <w:jc w:val="left"/>
              <w:spacing w:line="240" w:lineRule="auto" w:after="0"/>
            </w:pPr>
            <w:r>
              <w:rPr>
                <w:rFonts w:ascii="Times New Roman" w:hAnsi="Times New Roman" w:cs="Times New Roman" w:eastAsia="Times New Roman"/>
                <w:sz w:val="20"/>
                <w:szCs w:val="20"/>
              </w:rPr>
              <w:t xml:space="preserve">Imprecision</w:t>
            </w:r>
          </w:p>
        </w:tc>
        <w:tc>
          <w:tcPr/>
          <w:p>
            <w:pPr>
              <w:pStyle w:val="Normal"/>
              <w:jc w:val="left"/>
              <w:spacing w:line="240" w:lineRule="auto" w:after="0"/>
            </w:pPr>
            <w:r>
              <w:rPr>
                <w:rFonts w:ascii="Times New Roman" w:hAnsi="Times New Roman" w:cs="Times New Roman" w:eastAsia="Times New Roman"/>
                <w:sz w:val="20"/>
                <w:szCs w:val="20"/>
              </w:rPr>
              <w:t xml:space="preserve">CI inspection</w:t>
            </w:r>
          </w:p>
        </w:tc>
        <w:tc>
          <w:tcPr/>
          <w:p>
            <w:pPr>
              <w:pStyle w:val="Normal"/>
              <w:jc w:val="left"/>
              <w:spacing w:line="240" w:lineRule="auto" w:after="0"/>
            </w:pPr>
            <w:r>
              <w:rPr>
                <w:rFonts w:ascii="Times New Roman" w:hAnsi="Times New Roman" w:cs="Times New Roman" w:eastAsia="Times New Roman"/>
                <w:sz w:val="20"/>
                <w:szCs w:val="20"/>
              </w:rPr>
              <w:t xml:space="preserve">CI spans benefit through null: inconclusive</w:t>
            </w:r>
          </w:p>
        </w:tc>
      </w:tr>
      <w:tr>
        <w:tc>
          <w:tcPr/>
          <w:p>
            <w:pPr>
              <w:pStyle w:val="Normal"/>
              <w:jc w:val="left"/>
              <w:spacing w:line="240" w:lineRule="auto" w:after="0"/>
            </w:pPr>
            <w:r>
              <w:rPr>
                <w:rFonts w:ascii="Times New Roman" w:hAnsi="Times New Roman" w:cs="Times New Roman" w:eastAsia="Times New Roman"/>
                <w:sz w:val="20"/>
                <w:szCs w:val="20"/>
              </w:rPr>
              <w:t xml:space="preserve">Representativeness</w:t>
            </w:r>
          </w:p>
        </w:tc>
        <w:tc>
          <w:tcPr/>
          <w:p>
            <w:pPr>
              <w:pStyle w:val="Normal"/>
              <w:jc w:val="left"/>
              <w:spacing w:line="240" w:lineRule="auto" w:after="0"/>
            </w:pPr>
            <w:r>
              <w:rPr>
                <w:rFonts w:ascii="Times New Roman" w:hAnsi="Times New Roman" w:cs="Times New Roman" w:eastAsia="Times New Roman"/>
                <w:sz w:val="20"/>
                <w:szCs w:val="20"/>
              </w:rPr>
              <w:t xml:space="preserve">Indirectness</w:t>
            </w:r>
          </w:p>
        </w:tc>
        <w:tc>
          <w:tcPr/>
          <w:p>
            <w:pPr>
              <w:pStyle w:val="Normal"/>
              <w:jc w:val="left"/>
              <w:spacing w:line="240" w:lineRule="auto" w:after="0"/>
            </w:pPr>
            <w:r>
              <w:rPr>
                <w:rFonts w:ascii="Times New Roman" w:hAnsi="Times New Roman" w:cs="Times New Roman" w:eastAsia="Times New Roman"/>
                <w:sz w:val="20"/>
                <w:szCs w:val="20"/>
              </w:rPr>
              <w:t xml:space="preserve">Module K event rate ratio</w:t>
            </w:r>
          </w:p>
        </w:tc>
        <w:tc>
          <w:tcPr/>
          <w:p>
            <w:pPr>
              <w:pStyle w:val="Normal"/>
              <w:jc w:val="left"/>
              <w:spacing w:line="240" w:lineRule="auto" w:after="0"/>
            </w:pPr>
            <w:r>
              <w:rPr>
                <w:rFonts w:ascii="Times New Roman" w:hAnsi="Times New Roman" w:cs="Times New Roman" w:eastAsia="Times New Roman"/>
                <w:sz w:val="20"/>
                <w:szCs w:val="20"/>
              </w:rPr>
              <w:t xml:space="preserve">Event rate ratio &gt; 1.5 or &lt; 0.67: indirectness concern</w:t>
            </w:r>
          </w:p>
        </w:tc>
      </w:tr>
      <w:tr>
        <w:tc>
          <w:tcPr/>
          <w:p>
            <w:pPr>
              <w:pStyle w:val="Normal"/>
              <w:jc w:val="left"/>
              <w:spacing w:line="240" w:lineRule="auto" w:after="0"/>
            </w:pPr>
            <w:r>
              <w:rPr>
                <w:rFonts w:ascii="Times New Roman" w:hAnsi="Times New Roman" w:cs="Times New Roman" w:eastAsia="Times New Roman"/>
                <w:sz w:val="20"/>
                <w:szCs w:val="20"/>
              </w:rPr>
              <w:t xml:space="preserve">TSA</w:t>
            </w:r>
          </w:p>
        </w:tc>
        <w:tc>
          <w:tcPr/>
          <w:p>
            <w:pPr>
              <w:pStyle w:val="Normal"/>
              <w:jc w:val="left"/>
              <w:spacing w:line="240" w:lineRule="auto" w:after="0"/>
            </w:pPr>
            <w:r>
              <w:rPr>
                <w:rFonts w:ascii="Times New Roman" w:hAnsi="Times New Roman" w:cs="Times New Roman" w:eastAsia="Times New Roman"/>
                <w:sz w:val="20"/>
                <w:szCs w:val="20"/>
              </w:rPr>
              <w:t xml:space="preserve">Imprecision</w:t>
            </w:r>
          </w:p>
        </w:tc>
        <w:tc>
          <w:tcPr/>
          <w:p>
            <w:pPr>
              <w:pStyle w:val="Normal"/>
              <w:jc w:val="left"/>
              <w:spacing w:line="240" w:lineRule="auto" w:after="0"/>
            </w:pPr>
            <w:r>
              <w:rPr>
                <w:rFonts w:ascii="Times New Roman" w:hAnsi="Times New Roman" w:cs="Times New Roman" w:eastAsia="Times New Roman"/>
                <w:sz w:val="20"/>
                <w:szCs w:val="20"/>
              </w:rPr>
              <w:t xml:space="preserve">Sequential monitoring boundaries</w:t>
            </w:r>
          </w:p>
        </w:tc>
        <w:tc>
          <w:tcPr/>
          <w:p>
            <w:pPr>
              <w:pStyle w:val="Normal"/>
              <w:jc w:val="left"/>
              <w:spacing w:line="240" w:lineRule="auto" w:after="0"/>
            </w:pPr>
            <w:r>
              <w:rPr>
                <w:rFonts w:ascii="Times New Roman" w:hAnsi="Times New Roman" w:cs="Times New Roman" w:eastAsia="Times New Roman"/>
                <w:sz w:val="20"/>
                <w:szCs w:val="20"/>
              </w:rPr>
              <w:t xml:space="preserve">Boundaries not crossed: interim analysis equivalent</w:t>
            </w:r>
          </w:p>
        </w:tc>
      </w:tr>
      <w:tr>
        <w:tc>
          <w:tcPr/>
          <w:p>
            <w:pPr>
              <w:pStyle w:val="Normal"/>
              <w:jc w:val="left"/>
              <w:spacing w:line="240" w:lineRule="auto" w:after="0"/>
            </w:pPr>
            <w:r>
              <w:rPr>
                <w:rFonts w:ascii="Times New Roman" w:hAnsi="Times New Roman" w:cs="Times New Roman" w:eastAsia="Times New Roman"/>
                <w:sz w:val="20"/>
                <w:szCs w:val="20"/>
              </w:rPr>
              <w:t xml:space="preserve">Recommendation language</w:t>
            </w:r>
          </w:p>
        </w:tc>
        <w:tc>
          <w:tcPr/>
          <w:p>
            <w:pPr>
              <w:pStyle w:val="Normal"/>
              <w:jc w:val="left"/>
              <w:spacing w:line="240" w:lineRule="auto" w:after="0"/>
            </w:pPr>
            <w:r>
              <w:rPr>
                <w:rFonts w:ascii="Times New Roman" w:hAnsi="Times New Roman" w:cs="Times New Roman" w:eastAsia="Times New Roman"/>
                <w:sz w:val="20"/>
                <w:szCs w:val="20"/>
              </w:rPr>
              <w:t xml:space="preserve">Overall assessment</w:t>
            </w:r>
          </w:p>
        </w:tc>
        <w:tc>
          <w:tcPr/>
          <w:p>
            <w:pPr>
              <w:pStyle w:val="Normal"/>
              <w:jc w:val="left"/>
              <w:spacing w:line="240" w:lineRule="auto" w:after="0"/>
            </w:pPr>
            <w:r>
              <w:rPr>
                <w:rFonts w:ascii="Times New Roman" w:hAnsi="Times New Roman" w:cs="Times New Roman" w:eastAsia="Times New Roman"/>
                <w:sz w:val="20"/>
                <w:szCs w:val="20"/>
              </w:rPr>
              <w:t xml:space="preserve">Standardized templates</w:t>
            </w:r>
          </w:p>
        </w:tc>
        <w:tc>
          <w:tcPr/>
          <w:p>
            <w:pPr>
              <w:pStyle w:val="Normal"/>
              <w:jc w:val="left"/>
              <w:spacing w:line="240" w:lineRule="auto" w:after="0"/>
            </w:pPr>
            <w:r>
              <w:rPr>
                <w:rFonts w:ascii="Times New Roman" w:hAnsi="Times New Roman" w:cs="Times New Roman" w:eastAsia="Times New Roman"/>
                <w:sz w:val="20"/>
                <w:szCs w:val="20"/>
              </w:rPr>
              <w:t xml:space="preserve">Tailored to information sufficiency classification</w:t>
            </w:r>
          </w:p>
        </w:tc>
      </w:tr>
    </w:tbl>
    <w:p>
      <w:pPr>
        <w:pStyle w:val="Heading2"/>
      </w:pPr>
      <w:r>
        <w:rPr>
          <w:rFonts w:ascii="Times New Roman" w:hAnsi="Times New Roman"/>
          <w:b/>
          <w:color w:val="000000"/>
          <w:sz w:val="24"/>
        </w:rPr>
        <w:t>Results</w:t>
      </w:r>
    </w:p>
    <w:p>
      <w:pPr>
        <w:pStyle w:val="Heading3"/>
      </w:pPr>
      <w:r>
        <w:rPr>
          <w:rFonts w:ascii="Times New Roman" w:hAnsi="Times New Roman"/>
          <w:b/>
          <w:color w:val="000000"/>
          <w:sz w:val="24"/>
        </w:rPr>
        <w:t>Study-level data and risk-profile shift</w:t>
      </w:r>
    </w:p>
    <w:p xmlns:a="http://schemas.openxmlformats.org/drawingml/2006/main" xmlns:pic="http://schemas.openxmlformats.org/drawingml/2006/picture">
      <w:pPr>
        <w:pStyle w:val="Normal"/>
        <w:spacing w:line="480" w:lineRule="auto" w:after="120"/>
      </w:pPr>
      <w:r>
        <w:rPr>
          <w:rFonts w:ascii="Times New Roman" w:hAnsi="Times New Roman" w:cs="Times New Roman" w:eastAsia="Times New Roman"/>
          <w:sz w:val="24"/>
          <w:szCs w:val="24"/>
        </w:rPr>
        <w:t xml:space="preserve">Study-level data are summarized in Table 3 (magnesium in AMI) and Table 4 (statins in HF). In the magnesium case, control-group mortality fell from a pre-thrombolysis weighted mean of 8.9% to 7.2% in ISIS-4, an event rate ratio of 0.82 (Fig. 2). In the statins case, the RCT-to-observational event rate ratio was 0.53, indicating that the RCT populations had roughly half the mortality event rate of the observational cohorts.</w:t>
      </w:r>
    </w:p>
    <w:p>
      <w:r>
        <w:rPr>
          <w:rFonts w:ascii="Times New Roman" w:hAnsi="Times New Roman"/>
          <w:b/>
          <w:i w:val="0"/>
          <w:sz w:val="24"/>
        </w:rPr>
        <w:t>Table 3: Study-level data for magnesium in AMI</w:t>
      </w:r>
    </w:p>
    <w:tbl xmlns:a="http://schemas.openxmlformats.org/drawingml/2006/main" xmlns:pic="http://schemas.openxmlformats.org/drawingml/2006/picture">
      <w:tblPr>
        <w:tblStyle w:val="Table Grid"/>
        <w:tblW w:type="pct" w:w="5000"/>
        <w:tblLook w:firstRow="1" w:lastRow="0" w:firstColumn="0" w:lastColumn="0" w:noHBand="0" w:noVBand="0" w:val="0020"/>
        <w:jc w:val="center"/>
        <w:tblLayout w:type="fixed"/>
      </w:tblPr>
      <w:tblGrid>
        <w:gridCol w:w="990"/>
        <w:gridCol w:w="990"/>
        <w:gridCol w:w="990"/>
        <w:gridCol w:w="990"/>
        <w:gridCol w:w="990"/>
        <w:gridCol w:w="990"/>
        <w:gridCol w:w="990"/>
        <w:gridCol w:w="990"/>
      </w:tblGrid>
      <w:tr>
        <w:trPr>
          <w:tblHeader w:val="true"/>
        </w:trPr>
        <w:tc>
          <w:tcPr/>
          <w:p>
            <w:pPr>
              <w:pStyle w:val="Normal"/>
              <w:jc w:val="left"/>
              <w:spacing w:line="240" w:lineRule="auto" w:after="0"/>
            </w:pPr>
            <w:r>
              <w:rPr>
                <w:rFonts w:ascii="Times New Roman" w:hAnsi="Times New Roman" w:cs="Times New Roman" w:eastAsia="Times New Roman"/>
                <w:sz w:val="20"/>
                <w:szCs w:val="20"/>
                <w:b/>
              </w:rPr>
              <w:t xml:space="preserve">Study</w:t>
            </w:r>
          </w:p>
        </w:tc>
        <w:tc>
          <w:tcPr/>
          <w:p>
            <w:pPr>
              <w:pStyle w:val="Normal"/>
              <w:jc w:val="left"/>
              <w:spacing w:line="240" w:lineRule="auto" w:after="0"/>
            </w:pPr>
            <w:r>
              <w:rPr>
                <w:rFonts w:ascii="Times New Roman" w:hAnsi="Times New Roman" w:cs="Times New Roman" w:eastAsia="Times New Roman"/>
                <w:sz w:val="20"/>
                <w:szCs w:val="20"/>
                <w:b/>
              </w:rPr>
              <w:t xml:space="preserve">Year</w:t>
            </w:r>
          </w:p>
        </w:tc>
        <w:tc>
          <w:tcPr/>
          <w:p>
            <w:pPr>
              <w:pStyle w:val="Normal"/>
              <w:jc w:val="left"/>
              <w:spacing w:line="240" w:lineRule="auto" w:after="0"/>
            </w:pPr>
            <w:r>
              <w:rPr>
                <w:rFonts w:ascii="Times New Roman" w:hAnsi="Times New Roman" w:cs="Times New Roman" w:eastAsia="Times New Roman"/>
                <w:sz w:val="20"/>
                <w:szCs w:val="20"/>
                <w:b/>
              </w:rPr>
              <w:t xml:space="preserve">Era</w:t>
            </w:r>
          </w:p>
        </w:tc>
        <w:tc>
          <w:tcPr/>
          <w:p>
            <w:pPr>
              <w:pStyle w:val="Normal"/>
              <w:jc w:val="left"/>
              <w:spacing w:line="240" w:lineRule="auto" w:after="0"/>
            </w:pPr>
            <w:r>
              <w:rPr>
                <w:rFonts w:ascii="Times New Roman" w:hAnsi="Times New Roman" w:cs="Times New Roman" w:eastAsia="Times New Roman"/>
                <w:sz w:val="20"/>
                <w:szCs w:val="20"/>
                <w:b/>
              </w:rPr>
              <w:t xml:space="preserve">Events (Mg)</w:t>
            </w:r>
          </w:p>
        </w:tc>
        <w:tc>
          <w:tcPr/>
          <w:p>
            <w:pPr>
              <w:pStyle w:val="Normal"/>
              <w:jc w:val="left"/>
              <w:spacing w:line="240" w:lineRule="auto" w:after="0"/>
            </w:pPr>
            <w:r>
              <w:rPr>
                <w:rFonts w:ascii="Times New Roman" w:hAnsi="Times New Roman" w:cs="Times New Roman" w:eastAsia="Times New Roman"/>
                <w:sz w:val="20"/>
                <w:szCs w:val="20"/>
                <w:b/>
              </w:rPr>
              <w:t xml:space="preserve">N (Mg)</w:t>
            </w:r>
          </w:p>
        </w:tc>
        <w:tc>
          <w:tcPr/>
          <w:p>
            <w:pPr>
              <w:pStyle w:val="Normal"/>
              <w:jc w:val="left"/>
              <w:spacing w:line="240" w:lineRule="auto" w:after="0"/>
            </w:pPr>
            <w:r>
              <w:rPr>
                <w:rFonts w:ascii="Times New Roman" w:hAnsi="Times New Roman" w:cs="Times New Roman" w:eastAsia="Times New Roman"/>
                <w:sz w:val="20"/>
                <w:szCs w:val="20"/>
                <w:b/>
              </w:rPr>
              <w:t xml:space="preserve">Events (Ctrl)</w:t>
            </w:r>
          </w:p>
        </w:tc>
        <w:tc>
          <w:tcPr/>
          <w:p>
            <w:pPr>
              <w:pStyle w:val="Normal"/>
              <w:jc w:val="left"/>
              <w:spacing w:line="240" w:lineRule="auto" w:after="0"/>
            </w:pPr>
            <w:r>
              <w:rPr>
                <w:rFonts w:ascii="Times New Roman" w:hAnsi="Times New Roman" w:cs="Times New Roman" w:eastAsia="Times New Roman"/>
                <w:sz w:val="20"/>
                <w:szCs w:val="20"/>
                <w:b/>
              </w:rPr>
              <w:t xml:space="preserve">N (Ctrl)</w:t>
            </w:r>
          </w:p>
        </w:tc>
        <w:tc>
          <w:tcPr/>
          <w:p>
            <w:pPr>
              <w:pStyle w:val="Normal"/>
              <w:jc w:val="left"/>
              <w:spacing w:line="240" w:lineRule="auto" w:after="0"/>
            </w:pPr>
            <w:r>
              <w:rPr>
                <w:rFonts w:ascii="Times New Roman" w:hAnsi="Times New Roman" w:cs="Times New Roman" w:eastAsia="Times New Roman"/>
                <w:sz w:val="20"/>
                <w:szCs w:val="20"/>
                <w:b/>
              </w:rPr>
              <w:t xml:space="preserve">Control rate</w:t>
            </w:r>
          </w:p>
        </w:tc>
      </w:tr>
      <w:tr>
        <w:tc>
          <w:tcPr/>
          <w:p>
            <w:pPr>
              <w:pStyle w:val="Normal"/>
              <w:jc w:val="left"/>
              <w:spacing w:line="240" w:lineRule="auto" w:after="0"/>
            </w:pPr>
            <w:r>
              <w:rPr>
                <w:rFonts w:ascii="Times New Roman" w:hAnsi="Times New Roman" w:cs="Times New Roman" w:eastAsia="Times New Roman"/>
                <w:sz w:val="20"/>
                <w:szCs w:val="20"/>
              </w:rPr>
              <w:t xml:space="preserve">Morton 1984</w:t>
            </w:r>
          </w:p>
        </w:tc>
        <w:tc>
          <w:tcPr/>
          <w:p>
            <w:pPr>
              <w:pStyle w:val="Normal"/>
              <w:jc w:val="left"/>
              <w:spacing w:line="240" w:lineRule="auto" w:after="0"/>
            </w:pPr>
            <w:r>
              <w:rPr>
                <w:rFonts w:ascii="Times New Roman" w:hAnsi="Times New Roman" w:cs="Times New Roman" w:eastAsia="Times New Roman"/>
                <w:sz w:val="20"/>
                <w:szCs w:val="20"/>
              </w:rPr>
              <w:t xml:space="preserve">1984</w:t>
            </w:r>
          </w:p>
        </w:tc>
        <w:tc>
          <w:tcPr/>
          <w:p>
            <w:pPr>
              <w:pStyle w:val="Normal"/>
              <w:jc w:val="left"/>
              <w:spacing w:line="240" w:lineRule="auto" w:after="0"/>
            </w:pPr>
            <w:r>
              <w:rPr>
                <w:rFonts w:ascii="Times New Roman" w:hAnsi="Times New Roman" w:cs="Times New Roman" w:eastAsia="Times New Roman"/>
                <w:sz w:val="20"/>
                <w:szCs w:val="20"/>
              </w:rPr>
              <w:t xml:space="preserve">Pre-thrombolysis</w:t>
            </w:r>
          </w:p>
        </w:tc>
        <w:tc>
          <w:tcPr/>
          <w:p>
            <w:pPr>
              <w:pStyle w:val="Normal"/>
              <w:jc w:val="left"/>
              <w:spacing w:line="240" w:lineRule="auto" w:after="0"/>
            </w:pPr>
            <w:r>
              <w:rPr>
                <w:rFonts w:ascii="Times New Roman" w:hAnsi="Times New Roman" w:cs="Times New Roman" w:eastAsia="Times New Roman"/>
                <w:sz w:val="20"/>
                <w:szCs w:val="20"/>
              </w:rPr>
              <w:t xml:space="preserve">1</w:t>
            </w:r>
          </w:p>
        </w:tc>
        <w:tc>
          <w:tcPr/>
          <w:p>
            <w:pPr>
              <w:pStyle w:val="Normal"/>
              <w:jc w:val="left"/>
              <w:spacing w:line="240" w:lineRule="auto" w:after="0"/>
            </w:pPr>
            <w:r>
              <w:rPr>
                <w:rFonts w:ascii="Times New Roman" w:hAnsi="Times New Roman" w:cs="Times New Roman" w:eastAsia="Times New Roman"/>
                <w:sz w:val="20"/>
                <w:szCs w:val="20"/>
              </w:rPr>
              <w:t xml:space="preserve">40</w:t>
            </w:r>
          </w:p>
        </w:tc>
        <w:tc>
          <w:tcPr/>
          <w:p>
            <w:pPr>
              <w:pStyle w:val="Normal"/>
              <w:jc w:val="left"/>
              <w:spacing w:line="240" w:lineRule="auto" w:after="0"/>
            </w:pPr>
            <w:r>
              <w:rPr>
                <w:rFonts w:ascii="Times New Roman" w:hAnsi="Times New Roman" w:cs="Times New Roman" w:eastAsia="Times New Roman"/>
                <w:sz w:val="20"/>
                <w:szCs w:val="20"/>
              </w:rPr>
              <w:t xml:space="preserve">2</w:t>
            </w:r>
          </w:p>
        </w:tc>
        <w:tc>
          <w:tcPr/>
          <w:p>
            <w:pPr>
              <w:pStyle w:val="Normal"/>
              <w:jc w:val="left"/>
              <w:spacing w:line="240" w:lineRule="auto" w:after="0"/>
            </w:pPr>
            <w:r>
              <w:rPr>
                <w:rFonts w:ascii="Times New Roman" w:hAnsi="Times New Roman" w:cs="Times New Roman" w:eastAsia="Times New Roman"/>
                <w:sz w:val="20"/>
                <w:szCs w:val="20"/>
              </w:rPr>
              <w:t xml:space="preserve">36</w:t>
            </w:r>
          </w:p>
        </w:tc>
        <w:tc>
          <w:tcPr/>
          <w:p>
            <w:pPr>
              <w:pStyle w:val="Normal"/>
              <w:jc w:val="left"/>
              <w:spacing w:line="240" w:lineRule="auto" w:after="0"/>
            </w:pPr>
            <w:r>
              <w:rPr>
                <w:rFonts w:ascii="Times New Roman" w:hAnsi="Times New Roman" w:cs="Times New Roman" w:eastAsia="Times New Roman"/>
                <w:sz w:val="20"/>
                <w:szCs w:val="20"/>
              </w:rPr>
              <w:t xml:space="preserve">5.6%</w:t>
            </w:r>
          </w:p>
        </w:tc>
      </w:tr>
      <w:tr>
        <w:tc>
          <w:tcPr/>
          <w:p>
            <w:pPr>
              <w:pStyle w:val="Normal"/>
              <w:jc w:val="left"/>
              <w:spacing w:line="240" w:lineRule="auto" w:after="0"/>
            </w:pPr>
            <w:r>
              <w:rPr>
                <w:rFonts w:ascii="Times New Roman" w:hAnsi="Times New Roman" w:cs="Times New Roman" w:eastAsia="Times New Roman"/>
                <w:sz w:val="20"/>
                <w:szCs w:val="20"/>
              </w:rPr>
              <w:t xml:space="preserve">Rasmussen 1986</w:t>
            </w:r>
          </w:p>
        </w:tc>
        <w:tc>
          <w:tcPr/>
          <w:p>
            <w:pPr>
              <w:pStyle w:val="Normal"/>
              <w:jc w:val="left"/>
              <w:spacing w:line="240" w:lineRule="auto" w:after="0"/>
            </w:pPr>
            <w:r>
              <w:rPr>
                <w:rFonts w:ascii="Times New Roman" w:hAnsi="Times New Roman" w:cs="Times New Roman" w:eastAsia="Times New Roman"/>
                <w:sz w:val="20"/>
                <w:szCs w:val="20"/>
              </w:rPr>
              <w:t xml:space="preserve">1986</w:t>
            </w:r>
          </w:p>
        </w:tc>
        <w:tc>
          <w:tcPr/>
          <w:p>
            <w:pPr>
              <w:pStyle w:val="Normal"/>
              <w:jc w:val="left"/>
              <w:spacing w:line="240" w:lineRule="auto" w:after="0"/>
            </w:pPr>
            <w:r>
              <w:rPr>
                <w:rFonts w:ascii="Times New Roman" w:hAnsi="Times New Roman" w:cs="Times New Roman" w:eastAsia="Times New Roman"/>
                <w:sz w:val="20"/>
                <w:szCs w:val="20"/>
              </w:rPr>
              <w:t xml:space="preserve">Pre-thrombolysis</w:t>
            </w:r>
          </w:p>
        </w:tc>
        <w:tc>
          <w:tcPr/>
          <w:p>
            <w:pPr>
              <w:pStyle w:val="Normal"/>
              <w:jc w:val="left"/>
              <w:spacing w:line="240" w:lineRule="auto" w:after="0"/>
            </w:pPr>
            <w:r>
              <w:rPr>
                <w:rFonts w:ascii="Times New Roman" w:hAnsi="Times New Roman" w:cs="Times New Roman" w:eastAsia="Times New Roman"/>
                <w:sz w:val="20"/>
                <w:szCs w:val="20"/>
              </w:rPr>
              <w:t xml:space="preserve">1</w:t>
            </w:r>
          </w:p>
        </w:tc>
        <w:tc>
          <w:tcPr/>
          <w:p>
            <w:pPr>
              <w:pStyle w:val="Normal"/>
              <w:jc w:val="left"/>
              <w:spacing w:line="240" w:lineRule="auto" w:after="0"/>
            </w:pPr>
            <w:r>
              <w:rPr>
                <w:rFonts w:ascii="Times New Roman" w:hAnsi="Times New Roman" w:cs="Times New Roman" w:eastAsia="Times New Roman"/>
                <w:sz w:val="20"/>
                <w:szCs w:val="20"/>
              </w:rPr>
              <w:t xml:space="preserve">56</w:t>
            </w:r>
          </w:p>
        </w:tc>
        <w:tc>
          <w:tcPr/>
          <w:p>
            <w:pPr>
              <w:pStyle w:val="Normal"/>
              <w:jc w:val="left"/>
              <w:spacing w:line="240" w:lineRule="auto" w:after="0"/>
            </w:pPr>
            <w:r>
              <w:rPr>
                <w:rFonts w:ascii="Times New Roman" w:hAnsi="Times New Roman" w:cs="Times New Roman" w:eastAsia="Times New Roman"/>
                <w:sz w:val="20"/>
                <w:szCs w:val="20"/>
              </w:rPr>
              <w:t xml:space="preserve">9</w:t>
            </w:r>
          </w:p>
        </w:tc>
        <w:tc>
          <w:tcPr/>
          <w:p>
            <w:pPr>
              <w:pStyle w:val="Normal"/>
              <w:jc w:val="left"/>
              <w:spacing w:line="240" w:lineRule="auto" w:after="0"/>
            </w:pPr>
            <w:r>
              <w:rPr>
                <w:rFonts w:ascii="Times New Roman" w:hAnsi="Times New Roman" w:cs="Times New Roman" w:eastAsia="Times New Roman"/>
                <w:sz w:val="20"/>
                <w:szCs w:val="20"/>
              </w:rPr>
              <w:t xml:space="preserve">79</w:t>
            </w:r>
          </w:p>
        </w:tc>
        <w:tc>
          <w:tcPr/>
          <w:p>
            <w:pPr>
              <w:pStyle w:val="Normal"/>
              <w:jc w:val="left"/>
              <w:spacing w:line="240" w:lineRule="auto" w:after="0"/>
            </w:pPr>
            <w:r>
              <w:rPr>
                <w:rFonts w:ascii="Times New Roman" w:hAnsi="Times New Roman" w:cs="Times New Roman" w:eastAsia="Times New Roman"/>
                <w:sz w:val="20"/>
                <w:szCs w:val="20"/>
              </w:rPr>
              <w:t xml:space="preserve">11.4%</w:t>
            </w:r>
          </w:p>
        </w:tc>
      </w:tr>
      <w:tr>
        <w:tc>
          <w:tcPr/>
          <w:p>
            <w:pPr>
              <w:pStyle w:val="Normal"/>
              <w:jc w:val="left"/>
              <w:spacing w:line="240" w:lineRule="auto" w:after="0"/>
            </w:pPr>
            <w:r>
              <w:rPr>
                <w:rFonts w:ascii="Times New Roman" w:hAnsi="Times New Roman" w:cs="Times New Roman" w:eastAsia="Times New Roman"/>
                <w:sz w:val="20"/>
                <w:szCs w:val="20"/>
              </w:rPr>
              <w:t xml:space="preserve">Smith 1986</w:t>
            </w:r>
          </w:p>
        </w:tc>
        <w:tc>
          <w:tcPr/>
          <w:p>
            <w:pPr>
              <w:pStyle w:val="Normal"/>
              <w:jc w:val="left"/>
              <w:spacing w:line="240" w:lineRule="auto" w:after="0"/>
            </w:pPr>
            <w:r>
              <w:rPr>
                <w:rFonts w:ascii="Times New Roman" w:hAnsi="Times New Roman" w:cs="Times New Roman" w:eastAsia="Times New Roman"/>
                <w:sz w:val="20"/>
                <w:szCs w:val="20"/>
              </w:rPr>
              <w:t xml:space="preserve">1986</w:t>
            </w:r>
          </w:p>
        </w:tc>
        <w:tc>
          <w:tcPr/>
          <w:p>
            <w:pPr>
              <w:pStyle w:val="Normal"/>
              <w:jc w:val="left"/>
              <w:spacing w:line="240" w:lineRule="auto" w:after="0"/>
            </w:pPr>
            <w:r>
              <w:rPr>
                <w:rFonts w:ascii="Times New Roman" w:hAnsi="Times New Roman" w:cs="Times New Roman" w:eastAsia="Times New Roman"/>
                <w:sz w:val="20"/>
                <w:szCs w:val="20"/>
              </w:rPr>
              <w:t xml:space="preserve">Pre-thrombolysis</w:t>
            </w:r>
          </w:p>
        </w:tc>
        <w:tc>
          <w:tcPr/>
          <w:p>
            <w:pPr>
              <w:pStyle w:val="Normal"/>
              <w:jc w:val="left"/>
              <w:spacing w:line="240" w:lineRule="auto" w:after="0"/>
            </w:pPr>
            <w:r>
              <w:rPr>
                <w:rFonts w:ascii="Times New Roman" w:hAnsi="Times New Roman" w:cs="Times New Roman" w:eastAsia="Times New Roman"/>
                <w:sz w:val="20"/>
                <w:szCs w:val="20"/>
              </w:rPr>
              <w:t xml:space="preserve">2</w:t>
            </w:r>
          </w:p>
        </w:tc>
        <w:tc>
          <w:tcPr/>
          <w:p>
            <w:pPr>
              <w:pStyle w:val="Normal"/>
              <w:jc w:val="left"/>
              <w:spacing w:line="240" w:lineRule="auto" w:after="0"/>
            </w:pPr>
            <w:r>
              <w:rPr>
                <w:rFonts w:ascii="Times New Roman" w:hAnsi="Times New Roman" w:cs="Times New Roman" w:eastAsia="Times New Roman"/>
                <w:sz w:val="20"/>
                <w:szCs w:val="20"/>
              </w:rPr>
              <w:t xml:space="preserve">200</w:t>
            </w:r>
          </w:p>
        </w:tc>
        <w:tc>
          <w:tcPr/>
          <w:p>
            <w:pPr>
              <w:pStyle w:val="Normal"/>
              <w:jc w:val="left"/>
              <w:spacing w:line="240" w:lineRule="auto" w:after="0"/>
            </w:pPr>
            <w:r>
              <w:rPr>
                <w:rFonts w:ascii="Times New Roman" w:hAnsi="Times New Roman" w:cs="Times New Roman" w:eastAsia="Times New Roman"/>
                <w:sz w:val="20"/>
                <w:szCs w:val="20"/>
              </w:rPr>
              <w:t xml:space="preserve">7</w:t>
            </w:r>
          </w:p>
        </w:tc>
        <w:tc>
          <w:tcPr/>
          <w:p>
            <w:pPr>
              <w:pStyle w:val="Normal"/>
              <w:jc w:val="left"/>
              <w:spacing w:line="240" w:lineRule="auto" w:after="0"/>
            </w:pPr>
            <w:r>
              <w:rPr>
                <w:rFonts w:ascii="Times New Roman" w:hAnsi="Times New Roman" w:cs="Times New Roman" w:eastAsia="Times New Roman"/>
                <w:sz w:val="20"/>
                <w:szCs w:val="20"/>
              </w:rPr>
              <w:t xml:space="preserve">200</w:t>
            </w:r>
          </w:p>
        </w:tc>
        <w:tc>
          <w:tcPr/>
          <w:p>
            <w:pPr>
              <w:pStyle w:val="Normal"/>
              <w:jc w:val="left"/>
              <w:spacing w:line="240" w:lineRule="auto" w:after="0"/>
            </w:pPr>
            <w:r>
              <w:rPr>
                <w:rFonts w:ascii="Times New Roman" w:hAnsi="Times New Roman" w:cs="Times New Roman" w:eastAsia="Times New Roman"/>
                <w:sz w:val="20"/>
                <w:szCs w:val="20"/>
              </w:rPr>
              <w:t xml:space="preserve">3.5%</w:t>
            </w:r>
          </w:p>
        </w:tc>
      </w:tr>
      <w:tr>
        <w:tc>
          <w:tcPr/>
          <w:p>
            <w:pPr>
              <w:pStyle w:val="Normal"/>
              <w:jc w:val="left"/>
              <w:spacing w:line="240" w:lineRule="auto" w:after="0"/>
            </w:pPr>
            <w:r>
              <w:rPr>
                <w:rFonts w:ascii="Times New Roman" w:hAnsi="Times New Roman" w:cs="Times New Roman" w:eastAsia="Times New Roman"/>
                <w:sz w:val="20"/>
                <w:szCs w:val="20"/>
              </w:rPr>
              <w:t xml:space="preserve">Abraham 1987</w:t>
            </w:r>
          </w:p>
        </w:tc>
        <w:tc>
          <w:tcPr/>
          <w:p>
            <w:pPr>
              <w:pStyle w:val="Normal"/>
              <w:jc w:val="left"/>
              <w:spacing w:line="240" w:lineRule="auto" w:after="0"/>
            </w:pPr>
            <w:r>
              <w:rPr>
                <w:rFonts w:ascii="Times New Roman" w:hAnsi="Times New Roman" w:cs="Times New Roman" w:eastAsia="Times New Roman"/>
                <w:sz w:val="20"/>
                <w:szCs w:val="20"/>
              </w:rPr>
              <w:t xml:space="preserve">1987</w:t>
            </w:r>
          </w:p>
        </w:tc>
        <w:tc>
          <w:tcPr/>
          <w:p>
            <w:pPr>
              <w:pStyle w:val="Normal"/>
              <w:jc w:val="left"/>
              <w:spacing w:line="240" w:lineRule="auto" w:after="0"/>
            </w:pPr>
            <w:r>
              <w:rPr>
                <w:rFonts w:ascii="Times New Roman" w:hAnsi="Times New Roman" w:cs="Times New Roman" w:eastAsia="Times New Roman"/>
                <w:sz w:val="20"/>
                <w:szCs w:val="20"/>
              </w:rPr>
              <w:t xml:space="preserve">Pre-thrombolysis</w:t>
            </w:r>
          </w:p>
        </w:tc>
        <w:tc>
          <w:tcPr/>
          <w:p>
            <w:pPr>
              <w:pStyle w:val="Normal"/>
              <w:jc w:val="left"/>
              <w:spacing w:line="240" w:lineRule="auto" w:after="0"/>
            </w:pPr>
            <w:r>
              <w:rPr>
                <w:rFonts w:ascii="Times New Roman" w:hAnsi="Times New Roman" w:cs="Times New Roman" w:eastAsia="Times New Roman"/>
                <w:sz w:val="20"/>
                <w:szCs w:val="20"/>
              </w:rPr>
              <w:t xml:space="preserve">1</w:t>
            </w:r>
          </w:p>
        </w:tc>
        <w:tc>
          <w:tcPr/>
          <w:p>
            <w:pPr>
              <w:pStyle w:val="Normal"/>
              <w:jc w:val="left"/>
              <w:spacing w:line="240" w:lineRule="auto" w:after="0"/>
            </w:pPr>
            <w:r>
              <w:rPr>
                <w:rFonts w:ascii="Times New Roman" w:hAnsi="Times New Roman" w:cs="Times New Roman" w:eastAsia="Times New Roman"/>
                <w:sz w:val="20"/>
                <w:szCs w:val="20"/>
              </w:rPr>
              <w:t xml:space="preserve">48</w:t>
            </w:r>
          </w:p>
        </w:tc>
        <w:tc>
          <w:tcPr/>
          <w:p>
            <w:pPr>
              <w:pStyle w:val="Normal"/>
              <w:jc w:val="left"/>
              <w:spacing w:line="240" w:lineRule="auto" w:after="0"/>
            </w:pPr>
            <w:r>
              <w:rPr>
                <w:rFonts w:ascii="Times New Roman" w:hAnsi="Times New Roman" w:cs="Times New Roman" w:eastAsia="Times New Roman"/>
                <w:sz w:val="20"/>
                <w:szCs w:val="20"/>
              </w:rPr>
              <w:t xml:space="preserve">1</w:t>
            </w:r>
          </w:p>
        </w:tc>
        <w:tc>
          <w:tcPr/>
          <w:p>
            <w:pPr>
              <w:pStyle w:val="Normal"/>
              <w:jc w:val="left"/>
              <w:spacing w:line="240" w:lineRule="auto" w:after="0"/>
            </w:pPr>
            <w:r>
              <w:rPr>
                <w:rFonts w:ascii="Times New Roman" w:hAnsi="Times New Roman" w:cs="Times New Roman" w:eastAsia="Times New Roman"/>
                <w:sz w:val="20"/>
                <w:szCs w:val="20"/>
              </w:rPr>
              <w:t xml:space="preserve">46</w:t>
            </w:r>
          </w:p>
        </w:tc>
        <w:tc>
          <w:tcPr/>
          <w:p>
            <w:pPr>
              <w:pStyle w:val="Normal"/>
              <w:jc w:val="left"/>
              <w:spacing w:line="240" w:lineRule="auto" w:after="0"/>
            </w:pPr>
            <w:r>
              <w:rPr>
                <w:rFonts w:ascii="Times New Roman" w:hAnsi="Times New Roman" w:cs="Times New Roman" w:eastAsia="Times New Roman"/>
                <w:sz w:val="20"/>
                <w:szCs w:val="20"/>
              </w:rPr>
              <w:t xml:space="preserve">2.2%</w:t>
            </w:r>
          </w:p>
        </w:tc>
      </w:tr>
      <w:tr>
        <w:tc>
          <w:tcPr/>
          <w:p>
            <w:pPr>
              <w:pStyle w:val="Normal"/>
              <w:jc w:val="left"/>
              <w:spacing w:line="240" w:lineRule="auto" w:after="0"/>
            </w:pPr>
            <w:r>
              <w:rPr>
                <w:rFonts w:ascii="Times New Roman" w:hAnsi="Times New Roman" w:cs="Times New Roman" w:eastAsia="Times New Roman"/>
                <w:sz w:val="20"/>
                <w:szCs w:val="20"/>
              </w:rPr>
              <w:t xml:space="preserve">Ceremuzynski 1989</w:t>
            </w:r>
          </w:p>
        </w:tc>
        <w:tc>
          <w:tcPr/>
          <w:p>
            <w:pPr>
              <w:pStyle w:val="Normal"/>
              <w:jc w:val="left"/>
              <w:spacing w:line="240" w:lineRule="auto" w:after="0"/>
            </w:pPr>
            <w:r>
              <w:rPr>
                <w:rFonts w:ascii="Times New Roman" w:hAnsi="Times New Roman" w:cs="Times New Roman" w:eastAsia="Times New Roman"/>
                <w:sz w:val="20"/>
                <w:szCs w:val="20"/>
              </w:rPr>
              <w:t xml:space="preserve">1989</w:t>
            </w:r>
          </w:p>
        </w:tc>
        <w:tc>
          <w:tcPr/>
          <w:p>
            <w:pPr>
              <w:pStyle w:val="Normal"/>
              <w:jc w:val="left"/>
              <w:spacing w:line="240" w:lineRule="auto" w:after="0"/>
            </w:pPr>
            <w:r>
              <w:rPr>
                <w:rFonts w:ascii="Times New Roman" w:hAnsi="Times New Roman" w:cs="Times New Roman" w:eastAsia="Times New Roman"/>
                <w:sz w:val="20"/>
                <w:szCs w:val="20"/>
              </w:rPr>
              <w:t xml:space="preserve">Pre-thrombolysis</w:t>
            </w:r>
          </w:p>
        </w:tc>
        <w:tc>
          <w:tcPr/>
          <w:p>
            <w:pPr>
              <w:pStyle w:val="Normal"/>
              <w:jc w:val="left"/>
              <w:spacing w:line="240" w:lineRule="auto" w:after="0"/>
            </w:pPr>
            <w:r>
              <w:rPr>
                <w:rFonts w:ascii="Times New Roman" w:hAnsi="Times New Roman" w:cs="Times New Roman" w:eastAsia="Times New Roman"/>
                <w:sz w:val="20"/>
                <w:szCs w:val="20"/>
              </w:rPr>
              <w:t xml:space="preserve">1</w:t>
            </w:r>
          </w:p>
        </w:tc>
        <w:tc>
          <w:tcPr/>
          <w:p>
            <w:pPr>
              <w:pStyle w:val="Normal"/>
              <w:jc w:val="left"/>
              <w:spacing w:line="240" w:lineRule="auto" w:after="0"/>
            </w:pPr>
            <w:r>
              <w:rPr>
                <w:rFonts w:ascii="Times New Roman" w:hAnsi="Times New Roman" w:cs="Times New Roman" w:eastAsia="Times New Roman"/>
                <w:sz w:val="20"/>
                <w:szCs w:val="20"/>
              </w:rPr>
              <w:t xml:space="preserve">25</w:t>
            </w:r>
          </w:p>
        </w:tc>
        <w:tc>
          <w:tcPr/>
          <w:p>
            <w:pPr>
              <w:pStyle w:val="Normal"/>
              <w:jc w:val="left"/>
              <w:spacing w:line="240" w:lineRule="auto" w:after="0"/>
            </w:pPr>
            <w:r>
              <w:rPr>
                <w:rFonts w:ascii="Times New Roman" w:hAnsi="Times New Roman" w:cs="Times New Roman" w:eastAsia="Times New Roman"/>
                <w:sz w:val="20"/>
                <w:szCs w:val="20"/>
              </w:rPr>
              <w:t xml:space="preserve">3</w:t>
            </w:r>
          </w:p>
        </w:tc>
        <w:tc>
          <w:tcPr/>
          <w:p>
            <w:pPr>
              <w:pStyle w:val="Normal"/>
              <w:jc w:val="left"/>
              <w:spacing w:line="240" w:lineRule="auto" w:after="0"/>
            </w:pPr>
            <w:r>
              <w:rPr>
                <w:rFonts w:ascii="Times New Roman" w:hAnsi="Times New Roman" w:cs="Times New Roman" w:eastAsia="Times New Roman"/>
                <w:sz w:val="20"/>
                <w:szCs w:val="20"/>
              </w:rPr>
              <w:t xml:space="preserve">23</w:t>
            </w:r>
          </w:p>
        </w:tc>
        <w:tc>
          <w:tcPr/>
          <w:p>
            <w:pPr>
              <w:pStyle w:val="Normal"/>
              <w:jc w:val="left"/>
              <w:spacing w:line="240" w:lineRule="auto" w:after="0"/>
            </w:pPr>
            <w:r>
              <w:rPr>
                <w:rFonts w:ascii="Times New Roman" w:hAnsi="Times New Roman" w:cs="Times New Roman" w:eastAsia="Times New Roman"/>
                <w:sz w:val="20"/>
                <w:szCs w:val="20"/>
              </w:rPr>
              <w:t xml:space="preserve">13.0%</w:t>
            </w:r>
          </w:p>
        </w:tc>
      </w:tr>
      <w:tr>
        <w:tc>
          <w:tcPr/>
          <w:p>
            <w:pPr>
              <w:pStyle w:val="Normal"/>
              <w:jc w:val="left"/>
              <w:spacing w:line="240" w:lineRule="auto" w:after="0"/>
            </w:pPr>
            <w:r>
              <w:rPr>
                <w:rFonts w:ascii="Times New Roman" w:hAnsi="Times New Roman" w:cs="Times New Roman" w:eastAsia="Times New Roman"/>
                <w:sz w:val="20"/>
                <w:szCs w:val="20"/>
              </w:rPr>
              <w:t xml:space="preserve">Shechter 1990</w:t>
            </w:r>
          </w:p>
        </w:tc>
        <w:tc>
          <w:tcPr/>
          <w:p>
            <w:pPr>
              <w:pStyle w:val="Normal"/>
              <w:jc w:val="left"/>
              <w:spacing w:line="240" w:lineRule="auto" w:after="0"/>
            </w:pPr>
            <w:r>
              <w:rPr>
                <w:rFonts w:ascii="Times New Roman" w:hAnsi="Times New Roman" w:cs="Times New Roman" w:eastAsia="Times New Roman"/>
                <w:sz w:val="20"/>
                <w:szCs w:val="20"/>
              </w:rPr>
              <w:t xml:space="preserve">1990</w:t>
            </w:r>
          </w:p>
        </w:tc>
        <w:tc>
          <w:tcPr/>
          <w:p>
            <w:pPr>
              <w:pStyle w:val="Normal"/>
              <w:jc w:val="left"/>
              <w:spacing w:line="240" w:lineRule="auto" w:after="0"/>
            </w:pPr>
            <w:r>
              <w:rPr>
                <w:rFonts w:ascii="Times New Roman" w:hAnsi="Times New Roman" w:cs="Times New Roman" w:eastAsia="Times New Roman"/>
                <w:sz w:val="20"/>
                <w:szCs w:val="20"/>
              </w:rPr>
              <w:t xml:space="preserve">Pre-thrombolysis</w:t>
            </w:r>
          </w:p>
        </w:tc>
        <w:tc>
          <w:tcPr/>
          <w:p>
            <w:pPr>
              <w:pStyle w:val="Normal"/>
              <w:jc w:val="left"/>
              <w:spacing w:line="240" w:lineRule="auto" w:after="0"/>
            </w:pPr>
            <w:r>
              <w:rPr>
                <w:rFonts w:ascii="Times New Roman" w:hAnsi="Times New Roman" w:cs="Times New Roman" w:eastAsia="Times New Roman"/>
                <w:sz w:val="20"/>
                <w:szCs w:val="20"/>
              </w:rPr>
              <w:t xml:space="preserve">1</w:t>
            </w:r>
          </w:p>
        </w:tc>
        <w:tc>
          <w:tcPr/>
          <w:p>
            <w:pPr>
              <w:pStyle w:val="Normal"/>
              <w:jc w:val="left"/>
              <w:spacing w:line="240" w:lineRule="auto" w:after="0"/>
            </w:pPr>
            <w:r>
              <w:rPr>
                <w:rFonts w:ascii="Times New Roman" w:hAnsi="Times New Roman" w:cs="Times New Roman" w:eastAsia="Times New Roman"/>
                <w:sz w:val="20"/>
                <w:szCs w:val="20"/>
              </w:rPr>
              <w:t xml:space="preserve">50</w:t>
            </w:r>
          </w:p>
        </w:tc>
        <w:tc>
          <w:tcPr/>
          <w:p>
            <w:pPr>
              <w:pStyle w:val="Normal"/>
              <w:jc w:val="left"/>
              <w:spacing w:line="240" w:lineRule="auto" w:after="0"/>
            </w:pPr>
            <w:r>
              <w:rPr>
                <w:rFonts w:ascii="Times New Roman" w:hAnsi="Times New Roman" w:cs="Times New Roman" w:eastAsia="Times New Roman"/>
                <w:sz w:val="20"/>
                <w:szCs w:val="20"/>
              </w:rPr>
              <w:t xml:space="preserve">9</w:t>
            </w:r>
          </w:p>
        </w:tc>
        <w:tc>
          <w:tcPr/>
          <w:p>
            <w:pPr>
              <w:pStyle w:val="Normal"/>
              <w:jc w:val="left"/>
              <w:spacing w:line="240" w:lineRule="auto" w:after="0"/>
            </w:pPr>
            <w:r>
              <w:rPr>
                <w:rFonts w:ascii="Times New Roman" w:hAnsi="Times New Roman" w:cs="Times New Roman" w:eastAsia="Times New Roman"/>
                <w:sz w:val="20"/>
                <w:szCs w:val="20"/>
              </w:rPr>
              <w:t xml:space="preserve">53</w:t>
            </w:r>
          </w:p>
        </w:tc>
        <w:tc>
          <w:tcPr/>
          <w:p>
            <w:pPr>
              <w:pStyle w:val="Normal"/>
              <w:jc w:val="left"/>
              <w:spacing w:line="240" w:lineRule="auto" w:after="0"/>
            </w:pPr>
            <w:r>
              <w:rPr>
                <w:rFonts w:ascii="Times New Roman" w:hAnsi="Times New Roman" w:cs="Times New Roman" w:eastAsia="Times New Roman"/>
                <w:sz w:val="20"/>
                <w:szCs w:val="20"/>
              </w:rPr>
              <w:t xml:space="preserve">17.0%</w:t>
            </w:r>
          </w:p>
        </w:tc>
      </w:tr>
      <w:tr>
        <w:tc>
          <w:tcPr/>
          <w:p>
            <w:pPr>
              <w:pStyle w:val="Normal"/>
              <w:jc w:val="left"/>
              <w:spacing w:line="240" w:lineRule="auto" w:after="0"/>
            </w:pPr>
            <w:r>
              <w:rPr>
                <w:rFonts w:ascii="Times New Roman" w:hAnsi="Times New Roman" w:cs="Times New Roman" w:eastAsia="Times New Roman"/>
                <w:sz w:val="20"/>
                <w:szCs w:val="20"/>
              </w:rPr>
              <w:t xml:space="preserve">Singh 1990</w:t>
            </w:r>
          </w:p>
        </w:tc>
        <w:tc>
          <w:tcPr/>
          <w:p>
            <w:pPr>
              <w:pStyle w:val="Normal"/>
              <w:jc w:val="left"/>
              <w:spacing w:line="240" w:lineRule="auto" w:after="0"/>
            </w:pPr>
            <w:r>
              <w:rPr>
                <w:rFonts w:ascii="Times New Roman" w:hAnsi="Times New Roman" w:cs="Times New Roman" w:eastAsia="Times New Roman"/>
                <w:sz w:val="20"/>
                <w:szCs w:val="20"/>
              </w:rPr>
              <w:t xml:space="preserve">1990</w:t>
            </w:r>
          </w:p>
        </w:tc>
        <w:tc>
          <w:tcPr/>
          <w:p>
            <w:pPr>
              <w:pStyle w:val="Normal"/>
              <w:jc w:val="left"/>
              <w:spacing w:line="240" w:lineRule="auto" w:after="0"/>
            </w:pPr>
            <w:r>
              <w:rPr>
                <w:rFonts w:ascii="Times New Roman" w:hAnsi="Times New Roman" w:cs="Times New Roman" w:eastAsia="Times New Roman"/>
                <w:sz w:val="20"/>
                <w:szCs w:val="20"/>
              </w:rPr>
              <w:t xml:space="preserve">Pre-thrombolysis</w:t>
            </w:r>
          </w:p>
        </w:tc>
        <w:tc>
          <w:tcPr/>
          <w:p>
            <w:pPr>
              <w:pStyle w:val="Normal"/>
              <w:jc w:val="left"/>
              <w:spacing w:line="240" w:lineRule="auto" w:after="0"/>
            </w:pPr>
            <w:r>
              <w:rPr>
                <w:rFonts w:ascii="Times New Roman" w:hAnsi="Times New Roman" w:cs="Times New Roman" w:eastAsia="Times New Roman"/>
                <w:sz w:val="20"/>
                <w:szCs w:val="20"/>
              </w:rPr>
              <w:t xml:space="preserve">6</w:t>
            </w:r>
          </w:p>
        </w:tc>
        <w:tc>
          <w:tcPr/>
          <w:p>
            <w:pPr>
              <w:pStyle w:val="Normal"/>
              <w:jc w:val="left"/>
              <w:spacing w:line="240" w:lineRule="auto" w:after="0"/>
            </w:pPr>
            <w:r>
              <w:rPr>
                <w:rFonts w:ascii="Times New Roman" w:hAnsi="Times New Roman" w:cs="Times New Roman" w:eastAsia="Times New Roman"/>
                <w:sz w:val="20"/>
                <w:szCs w:val="20"/>
              </w:rPr>
              <w:t xml:space="preserve">39</w:t>
            </w:r>
          </w:p>
        </w:tc>
        <w:tc>
          <w:tcPr/>
          <w:p>
            <w:pPr>
              <w:pStyle w:val="Normal"/>
              <w:jc w:val="left"/>
              <w:spacing w:line="240" w:lineRule="auto" w:after="0"/>
            </w:pPr>
            <w:r>
              <w:rPr>
                <w:rFonts w:ascii="Times New Roman" w:hAnsi="Times New Roman" w:cs="Times New Roman" w:eastAsia="Times New Roman"/>
                <w:sz w:val="20"/>
                <w:szCs w:val="20"/>
              </w:rPr>
              <w:t xml:space="preserve">11</w:t>
            </w:r>
          </w:p>
        </w:tc>
        <w:tc>
          <w:tcPr/>
          <w:p>
            <w:pPr>
              <w:pStyle w:val="Normal"/>
              <w:jc w:val="left"/>
              <w:spacing w:line="240" w:lineRule="auto" w:after="0"/>
            </w:pPr>
            <w:r>
              <w:rPr>
                <w:rFonts w:ascii="Times New Roman" w:hAnsi="Times New Roman" w:cs="Times New Roman" w:eastAsia="Times New Roman"/>
                <w:sz w:val="20"/>
                <w:szCs w:val="20"/>
              </w:rPr>
              <w:t xml:space="preserve">37</w:t>
            </w:r>
          </w:p>
        </w:tc>
        <w:tc>
          <w:tcPr/>
          <w:p>
            <w:pPr>
              <w:pStyle w:val="Normal"/>
              <w:jc w:val="left"/>
              <w:spacing w:line="240" w:lineRule="auto" w:after="0"/>
            </w:pPr>
            <w:r>
              <w:rPr>
                <w:rFonts w:ascii="Times New Roman" w:hAnsi="Times New Roman" w:cs="Times New Roman" w:eastAsia="Times New Roman"/>
                <w:sz w:val="20"/>
                <w:szCs w:val="20"/>
              </w:rPr>
              <w:t xml:space="preserve">29.7%</w:t>
            </w:r>
          </w:p>
        </w:tc>
      </w:tr>
      <w:tr>
        <w:tc>
          <w:tcPr/>
          <w:p>
            <w:pPr>
              <w:pStyle w:val="Normal"/>
              <w:jc w:val="left"/>
              <w:spacing w:line="240" w:lineRule="auto" w:after="0"/>
            </w:pPr>
            <w:r>
              <w:rPr>
                <w:rFonts w:ascii="Times New Roman" w:hAnsi="Times New Roman" w:cs="Times New Roman" w:eastAsia="Times New Roman"/>
                <w:sz w:val="20"/>
                <w:szCs w:val="20"/>
              </w:rPr>
              <w:t xml:space="preserve">Feldstedt 1991</w:t>
            </w:r>
          </w:p>
        </w:tc>
        <w:tc>
          <w:tcPr/>
          <w:p>
            <w:pPr>
              <w:pStyle w:val="Normal"/>
              <w:jc w:val="left"/>
              <w:spacing w:line="240" w:lineRule="auto" w:after="0"/>
            </w:pPr>
            <w:r>
              <w:rPr>
                <w:rFonts w:ascii="Times New Roman" w:hAnsi="Times New Roman" w:cs="Times New Roman" w:eastAsia="Times New Roman"/>
                <w:sz w:val="20"/>
                <w:szCs w:val="20"/>
              </w:rPr>
              <w:t xml:space="preserve">1991</w:t>
            </w:r>
          </w:p>
        </w:tc>
        <w:tc>
          <w:tcPr/>
          <w:p>
            <w:pPr>
              <w:pStyle w:val="Normal"/>
              <w:jc w:val="left"/>
              <w:spacing w:line="240" w:lineRule="auto" w:after="0"/>
            </w:pPr>
            <w:r>
              <w:rPr>
                <w:rFonts w:ascii="Times New Roman" w:hAnsi="Times New Roman" w:cs="Times New Roman" w:eastAsia="Times New Roman"/>
                <w:sz w:val="20"/>
                <w:szCs w:val="20"/>
              </w:rPr>
              <w:t xml:space="preserve">Transition</w:t>
            </w:r>
          </w:p>
        </w:tc>
        <w:tc>
          <w:tcPr/>
          <w:p>
            <w:pPr>
              <w:pStyle w:val="Normal"/>
              <w:jc w:val="left"/>
              <w:spacing w:line="240" w:lineRule="auto" w:after="0"/>
            </w:pPr>
            <w:r>
              <w:rPr>
                <w:rFonts w:ascii="Times New Roman" w:hAnsi="Times New Roman" w:cs="Times New Roman" w:eastAsia="Times New Roman"/>
                <w:sz w:val="20"/>
                <w:szCs w:val="20"/>
              </w:rPr>
              <w:t xml:space="preserve">4</w:t>
            </w:r>
          </w:p>
        </w:tc>
        <w:tc>
          <w:tcPr/>
          <w:p>
            <w:pPr>
              <w:pStyle w:val="Normal"/>
              <w:jc w:val="left"/>
              <w:spacing w:line="240" w:lineRule="auto" w:after="0"/>
            </w:pPr>
            <w:r>
              <w:rPr>
                <w:rFonts w:ascii="Times New Roman" w:hAnsi="Times New Roman" w:cs="Times New Roman" w:eastAsia="Times New Roman"/>
                <w:sz w:val="20"/>
                <w:szCs w:val="20"/>
              </w:rPr>
              <w:t xml:space="preserve">100</w:t>
            </w:r>
          </w:p>
        </w:tc>
        <w:tc>
          <w:tcPr/>
          <w:p>
            <w:pPr>
              <w:pStyle w:val="Normal"/>
              <w:jc w:val="left"/>
              <w:spacing w:line="240" w:lineRule="auto" w:after="0"/>
            </w:pPr>
            <w:r>
              <w:rPr>
                <w:rFonts w:ascii="Times New Roman" w:hAnsi="Times New Roman" w:cs="Times New Roman" w:eastAsia="Times New Roman"/>
                <w:sz w:val="20"/>
                <w:szCs w:val="20"/>
              </w:rPr>
              <w:t xml:space="preserve">7</w:t>
            </w:r>
          </w:p>
        </w:tc>
        <w:tc>
          <w:tcPr/>
          <w:p>
            <w:pPr>
              <w:pStyle w:val="Normal"/>
              <w:jc w:val="left"/>
              <w:spacing w:line="240" w:lineRule="auto" w:after="0"/>
            </w:pPr>
            <w:r>
              <w:rPr>
                <w:rFonts w:ascii="Times New Roman" w:hAnsi="Times New Roman" w:cs="Times New Roman" w:eastAsia="Times New Roman"/>
                <w:sz w:val="20"/>
                <w:szCs w:val="20"/>
              </w:rPr>
              <w:t xml:space="preserve">100</w:t>
            </w:r>
          </w:p>
        </w:tc>
        <w:tc>
          <w:tcPr/>
          <w:p>
            <w:pPr>
              <w:pStyle w:val="Normal"/>
              <w:jc w:val="left"/>
              <w:spacing w:line="240" w:lineRule="auto" w:after="0"/>
            </w:pPr>
            <w:r>
              <w:rPr>
                <w:rFonts w:ascii="Times New Roman" w:hAnsi="Times New Roman" w:cs="Times New Roman" w:eastAsia="Times New Roman"/>
                <w:sz w:val="20"/>
                <w:szCs w:val="20"/>
              </w:rPr>
              <w:t xml:space="preserve">7.0%</w:t>
            </w:r>
          </w:p>
        </w:tc>
      </w:tr>
      <w:tr>
        <w:tc>
          <w:tcPr/>
          <w:p>
            <w:pPr>
              <w:pStyle w:val="Normal"/>
              <w:jc w:val="left"/>
              <w:spacing w:line="240" w:lineRule="auto" w:after="0"/>
            </w:pPr>
            <w:r>
              <w:rPr>
                <w:rFonts w:ascii="Times New Roman" w:hAnsi="Times New Roman" w:cs="Times New Roman" w:eastAsia="Times New Roman"/>
                <w:sz w:val="20"/>
                <w:szCs w:val="20"/>
              </w:rPr>
              <w:t xml:space="preserve">Schechter 1991</w:t>
            </w:r>
          </w:p>
        </w:tc>
        <w:tc>
          <w:tcPr/>
          <w:p>
            <w:pPr>
              <w:pStyle w:val="Normal"/>
              <w:jc w:val="left"/>
              <w:spacing w:line="240" w:lineRule="auto" w:after="0"/>
            </w:pPr>
            <w:r>
              <w:rPr>
                <w:rFonts w:ascii="Times New Roman" w:hAnsi="Times New Roman" w:cs="Times New Roman" w:eastAsia="Times New Roman"/>
                <w:sz w:val="20"/>
                <w:szCs w:val="20"/>
              </w:rPr>
              <w:t xml:space="preserve">1991</w:t>
            </w:r>
          </w:p>
        </w:tc>
        <w:tc>
          <w:tcPr/>
          <w:p>
            <w:pPr>
              <w:pStyle w:val="Normal"/>
              <w:jc w:val="left"/>
              <w:spacing w:line="240" w:lineRule="auto" w:after="0"/>
            </w:pPr>
            <w:r>
              <w:rPr>
                <w:rFonts w:ascii="Times New Roman" w:hAnsi="Times New Roman" w:cs="Times New Roman" w:eastAsia="Times New Roman"/>
                <w:sz w:val="20"/>
                <w:szCs w:val="20"/>
              </w:rPr>
              <w:t xml:space="preserve">Transition</w:t>
            </w:r>
          </w:p>
        </w:tc>
        <w:tc>
          <w:tcPr/>
          <w:p>
            <w:pPr>
              <w:pStyle w:val="Normal"/>
              <w:jc w:val="left"/>
              <w:spacing w:line="240" w:lineRule="auto" w:after="0"/>
            </w:pPr>
            <w:r>
              <w:rPr>
                <w:rFonts w:ascii="Times New Roman" w:hAnsi="Times New Roman" w:cs="Times New Roman" w:eastAsia="Times New Roman"/>
                <w:sz w:val="20"/>
                <w:szCs w:val="20"/>
              </w:rPr>
              <w:t xml:space="preserve">1</w:t>
            </w:r>
          </w:p>
        </w:tc>
        <w:tc>
          <w:tcPr/>
          <w:p>
            <w:pPr>
              <w:pStyle w:val="Normal"/>
              <w:jc w:val="left"/>
              <w:spacing w:line="240" w:lineRule="auto" w:after="0"/>
            </w:pPr>
            <w:r>
              <w:rPr>
                <w:rFonts w:ascii="Times New Roman" w:hAnsi="Times New Roman" w:cs="Times New Roman" w:eastAsia="Times New Roman"/>
                <w:sz w:val="20"/>
                <w:szCs w:val="20"/>
              </w:rPr>
              <w:t xml:space="preserve">59</w:t>
            </w:r>
          </w:p>
        </w:tc>
        <w:tc>
          <w:tcPr/>
          <w:p>
            <w:pPr>
              <w:pStyle w:val="Normal"/>
              <w:jc w:val="left"/>
              <w:spacing w:line="240" w:lineRule="auto" w:after="0"/>
            </w:pPr>
            <w:r>
              <w:rPr>
                <w:rFonts w:ascii="Times New Roman" w:hAnsi="Times New Roman" w:cs="Times New Roman" w:eastAsia="Times New Roman"/>
                <w:sz w:val="20"/>
                <w:szCs w:val="20"/>
              </w:rPr>
              <w:t xml:space="preserve">2</w:t>
            </w:r>
          </w:p>
        </w:tc>
        <w:tc>
          <w:tcPr/>
          <w:p>
            <w:pPr>
              <w:pStyle w:val="Normal"/>
              <w:jc w:val="left"/>
              <w:spacing w:line="240" w:lineRule="auto" w:after="0"/>
            </w:pPr>
            <w:r>
              <w:rPr>
                <w:rFonts w:ascii="Times New Roman" w:hAnsi="Times New Roman" w:cs="Times New Roman" w:eastAsia="Times New Roman"/>
                <w:sz w:val="20"/>
                <w:szCs w:val="20"/>
              </w:rPr>
              <w:t xml:space="preserve">57</w:t>
            </w:r>
          </w:p>
        </w:tc>
        <w:tc>
          <w:tcPr/>
          <w:p>
            <w:pPr>
              <w:pStyle w:val="Normal"/>
              <w:jc w:val="left"/>
              <w:spacing w:line="240" w:lineRule="auto" w:after="0"/>
            </w:pPr>
            <w:r>
              <w:rPr>
                <w:rFonts w:ascii="Times New Roman" w:hAnsi="Times New Roman" w:cs="Times New Roman" w:eastAsia="Times New Roman"/>
                <w:sz w:val="20"/>
                <w:szCs w:val="20"/>
              </w:rPr>
              <w:t xml:space="preserve">3.5%</w:t>
            </w:r>
          </w:p>
        </w:tc>
      </w:tr>
      <w:tr>
        <w:tc>
          <w:tcPr/>
          <w:p>
            <w:pPr>
              <w:pStyle w:val="Normal"/>
              <w:jc w:val="left"/>
              <w:spacing w:line="240" w:lineRule="auto" w:after="0"/>
            </w:pPr>
            <w:r>
              <w:rPr>
                <w:rFonts w:ascii="Times New Roman" w:hAnsi="Times New Roman" w:cs="Times New Roman" w:eastAsia="Times New Roman"/>
                <w:sz w:val="20"/>
                <w:szCs w:val="20"/>
              </w:rPr>
              <w:t xml:space="preserve">LIMIT-2 1992</w:t>
            </w:r>
          </w:p>
        </w:tc>
        <w:tc>
          <w:tcPr/>
          <w:p>
            <w:pPr>
              <w:pStyle w:val="Normal"/>
              <w:jc w:val="left"/>
              <w:spacing w:line="240" w:lineRule="auto" w:after="0"/>
            </w:pPr>
            <w:r>
              <w:rPr>
                <w:rFonts w:ascii="Times New Roman" w:hAnsi="Times New Roman" w:cs="Times New Roman" w:eastAsia="Times New Roman"/>
                <w:sz w:val="20"/>
                <w:szCs w:val="20"/>
              </w:rPr>
              <w:t xml:space="preserve">1992</w:t>
            </w:r>
          </w:p>
        </w:tc>
        <w:tc>
          <w:tcPr/>
          <w:p>
            <w:pPr>
              <w:pStyle w:val="Normal"/>
              <w:jc w:val="left"/>
              <w:spacing w:line="240" w:lineRule="auto" w:after="0"/>
            </w:pPr>
            <w:r>
              <w:rPr>
                <w:rFonts w:ascii="Times New Roman" w:hAnsi="Times New Roman" w:cs="Times New Roman" w:eastAsia="Times New Roman"/>
                <w:sz w:val="20"/>
                <w:szCs w:val="20"/>
              </w:rPr>
              <w:t xml:space="preserve">Thrombolysis</w:t>
            </w:r>
          </w:p>
        </w:tc>
        <w:tc>
          <w:tcPr/>
          <w:p>
            <w:pPr>
              <w:pStyle w:val="Normal"/>
              <w:jc w:val="left"/>
              <w:spacing w:line="240" w:lineRule="auto" w:after="0"/>
            </w:pPr>
            <w:r>
              <w:rPr>
                <w:rFonts w:ascii="Times New Roman" w:hAnsi="Times New Roman" w:cs="Times New Roman" w:eastAsia="Times New Roman"/>
                <w:sz w:val="20"/>
                <w:szCs w:val="20"/>
              </w:rPr>
              <w:t xml:space="preserve">90</w:t>
            </w:r>
          </w:p>
        </w:tc>
        <w:tc>
          <w:tcPr/>
          <w:p>
            <w:pPr>
              <w:pStyle w:val="Normal"/>
              <w:jc w:val="left"/>
              <w:spacing w:line="240" w:lineRule="auto" w:after="0"/>
            </w:pPr>
            <w:r>
              <w:rPr>
                <w:rFonts w:ascii="Times New Roman" w:hAnsi="Times New Roman" w:cs="Times New Roman" w:eastAsia="Times New Roman"/>
                <w:sz w:val="20"/>
                <w:szCs w:val="20"/>
              </w:rPr>
              <w:t xml:space="preserve">1,159</w:t>
            </w:r>
          </w:p>
        </w:tc>
        <w:tc>
          <w:tcPr/>
          <w:p>
            <w:pPr>
              <w:pStyle w:val="Normal"/>
              <w:jc w:val="left"/>
              <w:spacing w:line="240" w:lineRule="auto" w:after="0"/>
            </w:pPr>
            <w:r>
              <w:rPr>
                <w:rFonts w:ascii="Times New Roman" w:hAnsi="Times New Roman" w:cs="Times New Roman" w:eastAsia="Times New Roman"/>
                <w:sz w:val="20"/>
                <w:szCs w:val="20"/>
              </w:rPr>
              <w:t xml:space="preserve">118</w:t>
            </w:r>
          </w:p>
        </w:tc>
        <w:tc>
          <w:tcPr/>
          <w:p>
            <w:pPr>
              <w:pStyle w:val="Normal"/>
              <w:jc w:val="left"/>
              <w:spacing w:line="240" w:lineRule="auto" w:after="0"/>
            </w:pPr>
            <w:r>
              <w:rPr>
                <w:rFonts w:ascii="Times New Roman" w:hAnsi="Times New Roman" w:cs="Times New Roman" w:eastAsia="Times New Roman"/>
                <w:sz w:val="20"/>
                <w:szCs w:val="20"/>
              </w:rPr>
              <w:t xml:space="preserve">1,157</w:t>
            </w:r>
          </w:p>
        </w:tc>
        <w:tc>
          <w:tcPr/>
          <w:p>
            <w:pPr>
              <w:pStyle w:val="Normal"/>
              <w:jc w:val="left"/>
              <w:spacing w:line="240" w:lineRule="auto" w:after="0"/>
            </w:pPr>
            <w:r>
              <w:rPr>
                <w:rFonts w:ascii="Times New Roman" w:hAnsi="Times New Roman" w:cs="Times New Roman" w:eastAsia="Times New Roman"/>
                <w:sz w:val="20"/>
                <w:szCs w:val="20"/>
              </w:rPr>
              <w:t xml:space="preserve">10.2%</w:t>
            </w:r>
          </w:p>
        </w:tc>
      </w:tr>
      <w:tr>
        <w:tc>
          <w:tcPr/>
          <w:p>
            <w:pPr>
              <w:pStyle w:val="Normal"/>
              <w:jc w:val="left"/>
              <w:spacing w:line="240" w:lineRule="auto" w:after="0"/>
            </w:pPr>
            <w:r>
              <w:rPr>
                <w:rFonts w:ascii="Times New Roman" w:hAnsi="Times New Roman" w:cs="Times New Roman" w:eastAsia="Times New Roman"/>
                <w:sz w:val="20"/>
                <w:szCs w:val="20"/>
              </w:rPr>
              <w:t xml:space="preserve">Shechter 1995</w:t>
            </w:r>
          </w:p>
        </w:tc>
        <w:tc>
          <w:tcPr/>
          <w:p>
            <w:pPr>
              <w:pStyle w:val="Normal"/>
              <w:jc w:val="left"/>
              <w:spacing w:line="240" w:lineRule="auto" w:after="0"/>
            </w:pPr>
            <w:r>
              <w:rPr>
                <w:rFonts w:ascii="Times New Roman" w:hAnsi="Times New Roman" w:cs="Times New Roman" w:eastAsia="Times New Roman"/>
                <w:sz w:val="20"/>
                <w:szCs w:val="20"/>
              </w:rPr>
              <w:t xml:space="preserve">1995</w:t>
            </w:r>
          </w:p>
        </w:tc>
        <w:tc>
          <w:tcPr/>
          <w:p>
            <w:pPr>
              <w:pStyle w:val="Normal"/>
              <w:jc w:val="left"/>
              <w:spacing w:line="240" w:lineRule="auto" w:after="0"/>
            </w:pPr>
            <w:r>
              <w:rPr>
                <w:rFonts w:ascii="Times New Roman" w:hAnsi="Times New Roman" w:cs="Times New Roman" w:eastAsia="Times New Roman"/>
                <w:sz w:val="20"/>
                <w:szCs w:val="20"/>
              </w:rPr>
              <w:t xml:space="preserve">Thrombolysis</w:t>
            </w:r>
          </w:p>
        </w:tc>
        <w:tc>
          <w:tcPr/>
          <w:p>
            <w:pPr>
              <w:pStyle w:val="Normal"/>
              <w:jc w:val="left"/>
              <w:spacing w:line="240" w:lineRule="auto" w:after="0"/>
            </w:pPr>
            <w:r>
              <w:rPr>
                <w:rFonts w:ascii="Times New Roman" w:hAnsi="Times New Roman" w:cs="Times New Roman" w:eastAsia="Times New Roman"/>
                <w:sz w:val="20"/>
                <w:szCs w:val="20"/>
              </w:rPr>
              <w:t xml:space="preserve">4</w:t>
            </w:r>
          </w:p>
        </w:tc>
        <w:tc>
          <w:tcPr/>
          <w:p>
            <w:pPr>
              <w:pStyle w:val="Normal"/>
              <w:jc w:val="left"/>
              <w:spacing w:line="240" w:lineRule="auto" w:after="0"/>
            </w:pPr>
            <w:r>
              <w:rPr>
                <w:rFonts w:ascii="Times New Roman" w:hAnsi="Times New Roman" w:cs="Times New Roman" w:eastAsia="Times New Roman"/>
                <w:sz w:val="20"/>
                <w:szCs w:val="20"/>
              </w:rPr>
              <w:t xml:space="preserve">107</w:t>
            </w:r>
          </w:p>
        </w:tc>
        <w:tc>
          <w:tcPr/>
          <w:p>
            <w:pPr>
              <w:pStyle w:val="Normal"/>
              <w:jc w:val="left"/>
              <w:spacing w:line="240" w:lineRule="auto" w:after="0"/>
            </w:pPr>
            <w:r>
              <w:rPr>
                <w:rFonts w:ascii="Times New Roman" w:hAnsi="Times New Roman" w:cs="Times New Roman" w:eastAsia="Times New Roman"/>
                <w:sz w:val="20"/>
                <w:szCs w:val="20"/>
              </w:rPr>
              <w:t xml:space="preserve">17</w:t>
            </w:r>
          </w:p>
        </w:tc>
        <w:tc>
          <w:tcPr/>
          <w:p>
            <w:pPr>
              <w:pStyle w:val="Normal"/>
              <w:jc w:val="left"/>
              <w:spacing w:line="240" w:lineRule="auto" w:after="0"/>
            </w:pPr>
            <w:r>
              <w:rPr>
                <w:rFonts w:ascii="Times New Roman" w:hAnsi="Times New Roman" w:cs="Times New Roman" w:eastAsia="Times New Roman"/>
                <w:sz w:val="20"/>
                <w:szCs w:val="20"/>
              </w:rPr>
              <w:t xml:space="preserve">108</w:t>
            </w:r>
          </w:p>
        </w:tc>
        <w:tc>
          <w:tcPr/>
          <w:p>
            <w:pPr>
              <w:pStyle w:val="Normal"/>
              <w:jc w:val="left"/>
              <w:spacing w:line="240" w:lineRule="auto" w:after="0"/>
            </w:pPr>
            <w:r>
              <w:rPr>
                <w:rFonts w:ascii="Times New Roman" w:hAnsi="Times New Roman" w:cs="Times New Roman" w:eastAsia="Times New Roman"/>
                <w:sz w:val="20"/>
                <w:szCs w:val="20"/>
              </w:rPr>
              <w:t xml:space="preserve">15.7%</w:t>
            </w:r>
          </w:p>
        </w:tc>
      </w:tr>
      <w:tr>
        <w:tc>
          <w:tcPr/>
          <w:p>
            <w:pPr>
              <w:pStyle w:val="Normal"/>
              <w:jc w:val="left"/>
              <w:spacing w:line="240" w:lineRule="auto" w:after="0"/>
            </w:pPr>
            <w:r>
              <w:rPr>
                <w:rFonts w:ascii="Times New Roman" w:hAnsi="Times New Roman" w:cs="Times New Roman" w:eastAsia="Times New Roman"/>
                <w:sz w:val="20"/>
                <w:szCs w:val="20"/>
              </w:rPr>
              <w:t xml:space="preserve">ISIS-4 1995</w:t>
            </w:r>
          </w:p>
        </w:tc>
        <w:tc>
          <w:tcPr/>
          <w:p>
            <w:pPr>
              <w:pStyle w:val="Normal"/>
              <w:jc w:val="left"/>
              <w:spacing w:line="240" w:lineRule="auto" w:after="0"/>
            </w:pPr>
            <w:r>
              <w:rPr>
                <w:rFonts w:ascii="Times New Roman" w:hAnsi="Times New Roman" w:cs="Times New Roman" w:eastAsia="Times New Roman"/>
                <w:sz w:val="20"/>
                <w:szCs w:val="20"/>
              </w:rPr>
              <w:t xml:space="preserve">1995</w:t>
            </w:r>
          </w:p>
        </w:tc>
        <w:tc>
          <w:tcPr/>
          <w:p>
            <w:pPr>
              <w:pStyle w:val="Normal"/>
              <w:jc w:val="left"/>
              <w:spacing w:line="240" w:lineRule="auto" w:after="0"/>
            </w:pPr>
            <w:r>
              <w:rPr>
                <w:rFonts w:ascii="Times New Roman" w:hAnsi="Times New Roman" w:cs="Times New Roman" w:eastAsia="Times New Roman"/>
                <w:sz w:val="20"/>
                <w:szCs w:val="20"/>
              </w:rPr>
              <w:t xml:space="preserve">Thrombolysis</w:t>
            </w:r>
          </w:p>
        </w:tc>
        <w:tc>
          <w:tcPr/>
          <w:p>
            <w:pPr>
              <w:pStyle w:val="Normal"/>
              <w:jc w:val="left"/>
              <w:spacing w:line="240" w:lineRule="auto" w:after="0"/>
            </w:pPr>
            <w:r>
              <w:rPr>
                <w:rFonts w:ascii="Times New Roman" w:hAnsi="Times New Roman" w:cs="Times New Roman" w:eastAsia="Times New Roman"/>
                <w:sz w:val="20"/>
                <w:szCs w:val="20"/>
              </w:rPr>
              <w:t xml:space="preserve">2216</w:t>
            </w:r>
          </w:p>
        </w:tc>
        <w:tc>
          <w:tcPr/>
          <w:p>
            <w:pPr>
              <w:pStyle w:val="Normal"/>
              <w:jc w:val="left"/>
              <w:spacing w:line="240" w:lineRule="auto" w:after="0"/>
            </w:pPr>
            <w:r>
              <w:rPr>
                <w:rFonts w:ascii="Times New Roman" w:hAnsi="Times New Roman" w:cs="Times New Roman" w:eastAsia="Times New Roman"/>
                <w:sz w:val="20"/>
                <w:szCs w:val="20"/>
              </w:rPr>
              <w:t xml:space="preserve">29,011</w:t>
            </w:r>
          </w:p>
        </w:tc>
        <w:tc>
          <w:tcPr/>
          <w:p>
            <w:pPr>
              <w:pStyle w:val="Normal"/>
              <w:jc w:val="left"/>
              <w:spacing w:line="240" w:lineRule="auto" w:after="0"/>
            </w:pPr>
            <w:r>
              <w:rPr>
                <w:rFonts w:ascii="Times New Roman" w:hAnsi="Times New Roman" w:cs="Times New Roman" w:eastAsia="Times New Roman"/>
                <w:sz w:val="20"/>
                <w:szCs w:val="20"/>
              </w:rPr>
              <w:t xml:space="preserve">2103</w:t>
            </w:r>
          </w:p>
        </w:tc>
        <w:tc>
          <w:tcPr/>
          <w:p>
            <w:pPr>
              <w:pStyle w:val="Normal"/>
              <w:jc w:val="left"/>
              <w:spacing w:line="240" w:lineRule="auto" w:after="0"/>
            </w:pPr>
            <w:r>
              <w:rPr>
                <w:rFonts w:ascii="Times New Roman" w:hAnsi="Times New Roman" w:cs="Times New Roman" w:eastAsia="Times New Roman"/>
                <w:sz w:val="20"/>
                <w:szCs w:val="20"/>
              </w:rPr>
              <w:t xml:space="preserve">29,039</w:t>
            </w:r>
          </w:p>
        </w:tc>
        <w:tc>
          <w:tcPr/>
          <w:p>
            <w:pPr>
              <w:pStyle w:val="Normal"/>
              <w:jc w:val="left"/>
              <w:spacing w:line="240" w:lineRule="auto" w:after="0"/>
            </w:pPr>
            <w:r>
              <w:rPr>
                <w:rFonts w:ascii="Times New Roman" w:hAnsi="Times New Roman" w:cs="Times New Roman" w:eastAsia="Times New Roman"/>
                <w:sz w:val="20"/>
                <w:szCs w:val="20"/>
              </w:rPr>
              <w:t xml:space="preserve">7.2%</w:t>
            </w:r>
          </w:p>
        </w:tc>
      </w:tr>
    </w:tbl>
    <w:p>
      <w:r>
        <w:rPr>
          <w:rFonts w:ascii="Times New Roman" w:hAnsi="Times New Roman"/>
          <w:b/>
          <w:i w:val="0"/>
          <w:sz w:val="24"/>
        </w:rPr>
        <w:t>Table 4: Study-level data for statins in heart failure</w:t>
      </w:r>
    </w:p>
    <w:tbl xmlns:a="http://schemas.openxmlformats.org/drawingml/2006/main" xmlns:pic="http://schemas.openxmlformats.org/drawingml/2006/picture">
      <w:tblPr>
        <w:tblStyle w:val="Table Grid"/>
        <w:tblW w:type="auto" w:w="0"/>
        <w:tblLook w:firstRow="1" w:lastRow="0" w:firstColumn="0" w:lastColumn="0" w:noHBand="0" w:noVBand="0" w:val="0020"/>
        <w:jc w:val="center"/>
      </w:tblPr>
      <w:tblGrid>
        <w:gridCol w:w="1584"/>
        <w:gridCol w:w="1584"/>
        <w:gridCol w:w="1584"/>
        <w:gridCol w:w="1584"/>
        <w:gridCol w:w="1584"/>
      </w:tblGrid>
      <w:tr>
        <w:trPr>
          <w:tblHeader w:val="true"/>
        </w:trPr>
        <w:tc>
          <w:tcPr/>
          <w:p>
            <w:pPr>
              <w:pStyle w:val="Normal"/>
              <w:jc w:val="left"/>
              <w:spacing w:line="240" w:lineRule="auto" w:after="0"/>
            </w:pPr>
            <w:r>
              <w:rPr>
                <w:rFonts w:ascii="Times New Roman" w:hAnsi="Times New Roman" w:cs="Times New Roman" w:eastAsia="Times New Roman"/>
                <w:sz w:val="20"/>
                <w:szCs w:val="20"/>
                <w:b/>
              </w:rPr>
              <w:t xml:space="preserve">Study</w:t>
            </w:r>
          </w:p>
        </w:tc>
        <w:tc>
          <w:tcPr/>
          <w:p>
            <w:pPr>
              <w:pStyle w:val="Normal"/>
              <w:jc w:val="left"/>
              <w:spacing w:line="240" w:lineRule="auto" w:after="0"/>
            </w:pPr>
            <w:r>
              <w:rPr>
                <w:rFonts w:ascii="Times New Roman" w:hAnsi="Times New Roman" w:cs="Times New Roman" w:eastAsia="Times New Roman"/>
                <w:sz w:val="20"/>
                <w:szCs w:val="20"/>
                <w:b/>
              </w:rPr>
              <w:t xml:space="preserve">Design</w:t>
            </w:r>
          </w:p>
        </w:tc>
        <w:tc>
          <w:tcPr/>
          <w:p>
            <w:pPr>
              <w:pStyle w:val="Normal"/>
              <w:jc w:val="left"/>
              <w:spacing w:line="240" w:lineRule="auto" w:after="0"/>
            </w:pPr>
            <w:r>
              <w:rPr>
                <w:rFonts w:ascii="Times New Roman" w:hAnsi="Times New Roman" w:cs="Times New Roman" w:eastAsia="Times New Roman"/>
                <w:sz w:val="20"/>
                <w:szCs w:val="20"/>
                <w:b/>
              </w:rPr>
              <w:t xml:space="preserve">HR (95% CI)</w:t>
            </w:r>
          </w:p>
        </w:tc>
        <w:tc>
          <w:tcPr/>
          <w:p>
            <w:pPr>
              <w:pStyle w:val="Normal"/>
              <w:jc w:val="left"/>
              <w:spacing w:line="240" w:lineRule="auto" w:after="0"/>
            </w:pPr>
            <w:r>
              <w:rPr>
                <w:rFonts w:ascii="Times New Roman" w:hAnsi="Times New Roman" w:cs="Times New Roman" w:eastAsia="Times New Roman"/>
                <w:sz w:val="20"/>
                <w:szCs w:val="20"/>
                <w:b/>
              </w:rPr>
              <w:t xml:space="preserve">N</w:t>
            </w:r>
          </w:p>
        </w:tc>
        <w:tc>
          <w:tcPr/>
          <w:p>
            <w:pPr>
              <w:pStyle w:val="Normal"/>
              <w:jc w:val="left"/>
              <w:spacing w:line="240" w:lineRule="auto" w:after="0"/>
            </w:pPr>
            <w:r>
              <w:rPr>
                <w:rFonts w:ascii="Times New Roman" w:hAnsi="Times New Roman" w:cs="Times New Roman" w:eastAsia="Times New Roman"/>
                <w:sz w:val="20"/>
                <w:szCs w:val="20"/>
                <w:b/>
              </w:rPr>
              <w:t xml:space="preserve">Events</w:t>
            </w:r>
          </w:p>
        </w:tc>
      </w:tr>
      <w:tr>
        <w:tc>
          <w:tcPr/>
          <w:p>
            <w:pPr>
              <w:pStyle w:val="Normal"/>
              <w:jc w:val="left"/>
              <w:spacing w:line="240" w:lineRule="auto" w:after="0"/>
            </w:pPr>
            <w:r>
              <w:rPr>
                <w:rFonts w:ascii="Times New Roman" w:hAnsi="Times New Roman" w:cs="Times New Roman" w:eastAsia="Times New Roman"/>
                <w:sz w:val="20"/>
                <w:szCs w:val="20"/>
              </w:rPr>
              <w:t xml:space="preserve">Mozaffarian 2004</w:t>
            </w:r>
          </w:p>
        </w:tc>
        <w:tc>
          <w:tcPr/>
          <w:p>
            <w:pPr>
              <w:pStyle w:val="Normal"/>
              <w:jc w:val="left"/>
              <w:spacing w:line="240" w:lineRule="auto" w:after="0"/>
            </w:pPr>
            <w:r>
              <w:rPr>
                <w:rFonts w:ascii="Times New Roman" w:hAnsi="Times New Roman" w:cs="Times New Roman" w:eastAsia="Times New Roman"/>
                <w:sz w:val="20"/>
                <w:szCs w:val="20"/>
              </w:rPr>
              <w:t xml:space="preserve">OBS</w:t>
            </w:r>
          </w:p>
        </w:tc>
        <w:tc>
          <w:tcPr/>
          <w:p>
            <w:pPr>
              <w:pStyle w:val="Normal"/>
              <w:jc w:val="left"/>
              <w:spacing w:line="240" w:lineRule="auto" w:after="0"/>
            </w:pPr>
            <w:r>
              <w:rPr>
                <w:rFonts w:ascii="Times New Roman" w:hAnsi="Times New Roman" w:cs="Times New Roman" w:eastAsia="Times New Roman"/>
                <w:sz w:val="20"/>
                <w:szCs w:val="20"/>
              </w:rPr>
              <w:t xml:space="preserve">0.62 (0.49–0.78)</w:t>
            </w:r>
          </w:p>
        </w:tc>
        <w:tc>
          <w:tcPr/>
          <w:p>
            <w:pPr>
              <w:pStyle w:val="Normal"/>
              <w:jc w:val="left"/>
              <w:spacing w:line="240" w:lineRule="auto" w:after="0"/>
            </w:pPr>
            <w:r>
              <w:rPr>
                <w:rFonts w:ascii="Times New Roman" w:hAnsi="Times New Roman" w:cs="Times New Roman" w:eastAsia="Times New Roman"/>
                <w:sz w:val="20"/>
                <w:szCs w:val="20"/>
              </w:rPr>
              <w:t xml:space="preserve">1,153</w:t>
            </w:r>
          </w:p>
        </w:tc>
        <w:tc>
          <w:tcPr/>
          <w:p>
            <w:pPr>
              <w:pStyle w:val="Normal"/>
              <w:jc w:val="left"/>
              <w:spacing w:line="240" w:lineRule="auto" w:after="0"/>
            </w:pPr>
            <w:r>
              <w:rPr>
                <w:rFonts w:ascii="Times New Roman" w:hAnsi="Times New Roman" w:cs="Times New Roman" w:eastAsia="Times New Roman"/>
                <w:sz w:val="20"/>
                <w:szCs w:val="20"/>
              </w:rPr>
              <w:t xml:space="preserve">356</w:t>
            </w:r>
          </w:p>
        </w:tc>
      </w:tr>
      <w:tr>
        <w:tc>
          <w:tcPr/>
          <w:p>
            <w:pPr>
              <w:pStyle w:val="Normal"/>
              <w:jc w:val="left"/>
              <w:spacing w:line="240" w:lineRule="auto" w:after="0"/>
            </w:pPr>
            <w:r>
              <w:rPr>
                <w:rFonts w:ascii="Times New Roman" w:hAnsi="Times New Roman" w:cs="Times New Roman" w:eastAsia="Times New Roman"/>
                <w:sz w:val="20"/>
                <w:szCs w:val="20"/>
              </w:rPr>
              <w:t xml:space="preserve">Horwich 2004</w:t>
            </w:r>
          </w:p>
        </w:tc>
        <w:tc>
          <w:tcPr/>
          <w:p>
            <w:pPr>
              <w:pStyle w:val="Normal"/>
              <w:jc w:val="left"/>
              <w:spacing w:line="240" w:lineRule="auto" w:after="0"/>
            </w:pPr>
            <w:r>
              <w:rPr>
                <w:rFonts w:ascii="Times New Roman" w:hAnsi="Times New Roman" w:cs="Times New Roman" w:eastAsia="Times New Roman"/>
                <w:sz w:val="20"/>
                <w:szCs w:val="20"/>
              </w:rPr>
              <w:t xml:space="preserve">OBS</w:t>
            </w:r>
          </w:p>
        </w:tc>
        <w:tc>
          <w:tcPr/>
          <w:p>
            <w:pPr>
              <w:pStyle w:val="Normal"/>
              <w:jc w:val="left"/>
              <w:spacing w:line="240" w:lineRule="auto" w:after="0"/>
            </w:pPr>
            <w:r>
              <w:rPr>
                <w:rFonts w:ascii="Times New Roman" w:hAnsi="Times New Roman" w:cs="Times New Roman" w:eastAsia="Times New Roman"/>
                <w:sz w:val="20"/>
                <w:szCs w:val="20"/>
              </w:rPr>
              <w:t xml:space="preserve">0.59 (0.44–0.78)</w:t>
            </w:r>
          </w:p>
        </w:tc>
        <w:tc>
          <w:tcPr/>
          <w:p>
            <w:pPr>
              <w:pStyle w:val="Normal"/>
              <w:jc w:val="left"/>
              <w:spacing w:line="240" w:lineRule="auto" w:after="0"/>
            </w:pPr>
            <w:r>
              <w:rPr>
                <w:rFonts w:ascii="Times New Roman" w:hAnsi="Times New Roman" w:cs="Times New Roman" w:eastAsia="Times New Roman"/>
                <w:sz w:val="20"/>
                <w:szCs w:val="20"/>
              </w:rPr>
              <w:t xml:space="preserve">551</w:t>
            </w:r>
          </w:p>
        </w:tc>
        <w:tc>
          <w:tcPr/>
          <w:p>
            <w:pPr>
              <w:pStyle w:val="Normal"/>
              <w:jc w:val="left"/>
              <w:spacing w:line="240" w:lineRule="auto" w:after="0"/>
            </w:pPr>
            <w:r>
              <w:rPr>
                <w:rFonts w:ascii="Times New Roman" w:hAnsi="Times New Roman" w:cs="Times New Roman" w:eastAsia="Times New Roman"/>
                <w:sz w:val="20"/>
                <w:szCs w:val="20"/>
              </w:rPr>
              <w:t xml:space="preserve">189</w:t>
            </w:r>
          </w:p>
        </w:tc>
      </w:tr>
      <w:tr>
        <w:tc>
          <w:tcPr/>
          <w:p>
            <w:pPr>
              <w:pStyle w:val="Normal"/>
              <w:jc w:val="left"/>
              <w:spacing w:line="240" w:lineRule="auto" w:after="0"/>
            </w:pPr>
            <w:r>
              <w:rPr>
                <w:rFonts w:ascii="Times New Roman" w:hAnsi="Times New Roman" w:cs="Times New Roman" w:eastAsia="Times New Roman"/>
                <w:sz w:val="20"/>
                <w:szCs w:val="20"/>
              </w:rPr>
              <w:t xml:space="preserve">Go 2006</w:t>
            </w:r>
          </w:p>
        </w:tc>
        <w:tc>
          <w:tcPr/>
          <w:p>
            <w:pPr>
              <w:pStyle w:val="Normal"/>
              <w:jc w:val="left"/>
              <w:spacing w:line="240" w:lineRule="auto" w:after="0"/>
            </w:pPr>
            <w:r>
              <w:rPr>
                <w:rFonts w:ascii="Times New Roman" w:hAnsi="Times New Roman" w:cs="Times New Roman" w:eastAsia="Times New Roman"/>
                <w:sz w:val="20"/>
                <w:szCs w:val="20"/>
              </w:rPr>
              <w:t xml:space="preserve">OBS</w:t>
            </w:r>
          </w:p>
        </w:tc>
        <w:tc>
          <w:tcPr/>
          <w:p>
            <w:pPr>
              <w:pStyle w:val="Normal"/>
              <w:jc w:val="left"/>
              <w:spacing w:line="240" w:lineRule="auto" w:after="0"/>
            </w:pPr>
            <w:r>
              <w:rPr>
                <w:rFonts w:ascii="Times New Roman" w:hAnsi="Times New Roman" w:cs="Times New Roman" w:eastAsia="Times New Roman"/>
                <w:sz w:val="20"/>
                <w:szCs w:val="20"/>
              </w:rPr>
              <w:t xml:space="preserve">0.69 (0.63–0.75)</w:t>
            </w:r>
          </w:p>
        </w:tc>
        <w:tc>
          <w:tcPr/>
          <w:p>
            <w:pPr>
              <w:pStyle w:val="Normal"/>
              <w:jc w:val="left"/>
              <w:spacing w:line="240" w:lineRule="auto" w:after="0"/>
            </w:pPr>
            <w:r>
              <w:rPr>
                <w:rFonts w:ascii="Times New Roman" w:hAnsi="Times New Roman" w:cs="Times New Roman" w:eastAsia="Times New Roman"/>
                <w:sz w:val="20"/>
                <w:szCs w:val="20"/>
              </w:rPr>
              <w:t xml:space="preserve">24,598</w:t>
            </w:r>
          </w:p>
        </w:tc>
        <w:tc>
          <w:tcPr/>
          <w:p>
            <w:pPr>
              <w:pStyle w:val="Normal"/>
              <w:jc w:val="left"/>
              <w:spacing w:line="240" w:lineRule="auto" w:after="0"/>
            </w:pPr>
            <w:r>
              <w:rPr>
                <w:rFonts w:ascii="Times New Roman" w:hAnsi="Times New Roman" w:cs="Times New Roman" w:eastAsia="Times New Roman"/>
                <w:sz w:val="20"/>
                <w:szCs w:val="20"/>
              </w:rPr>
              <w:t xml:space="preserve">5,765</w:t>
            </w:r>
          </w:p>
        </w:tc>
      </w:tr>
      <w:tr>
        <w:tc>
          <w:tcPr/>
          <w:p>
            <w:pPr>
              <w:pStyle w:val="Normal"/>
              <w:jc w:val="left"/>
              <w:spacing w:line="240" w:lineRule="auto" w:after="0"/>
            </w:pPr>
            <w:r>
              <w:rPr>
                <w:rFonts w:ascii="Times New Roman" w:hAnsi="Times New Roman" w:cs="Times New Roman" w:eastAsia="Times New Roman"/>
                <w:sz w:val="20"/>
                <w:szCs w:val="20"/>
              </w:rPr>
              <w:t xml:space="preserve">Foody 2006</w:t>
            </w:r>
          </w:p>
        </w:tc>
        <w:tc>
          <w:tcPr/>
          <w:p>
            <w:pPr>
              <w:pStyle w:val="Normal"/>
              <w:jc w:val="left"/>
              <w:spacing w:line="240" w:lineRule="auto" w:after="0"/>
            </w:pPr>
            <w:r>
              <w:rPr>
                <w:rFonts w:ascii="Times New Roman" w:hAnsi="Times New Roman" w:cs="Times New Roman" w:eastAsia="Times New Roman"/>
                <w:sz w:val="20"/>
                <w:szCs w:val="20"/>
              </w:rPr>
              <w:t xml:space="preserve">OBS</w:t>
            </w:r>
          </w:p>
        </w:tc>
        <w:tc>
          <w:tcPr/>
          <w:p>
            <w:pPr>
              <w:pStyle w:val="Normal"/>
              <w:jc w:val="left"/>
              <w:spacing w:line="240" w:lineRule="auto" w:after="0"/>
            </w:pPr>
            <w:r>
              <w:rPr>
                <w:rFonts w:ascii="Times New Roman" w:hAnsi="Times New Roman" w:cs="Times New Roman" w:eastAsia="Times New Roman"/>
                <w:sz w:val="20"/>
                <w:szCs w:val="20"/>
              </w:rPr>
              <w:t xml:space="preserve">0.82 (0.79–0.85)</w:t>
            </w:r>
          </w:p>
        </w:tc>
        <w:tc>
          <w:tcPr/>
          <w:p>
            <w:pPr>
              <w:pStyle w:val="Normal"/>
              <w:jc w:val="left"/>
              <w:spacing w:line="240" w:lineRule="auto" w:after="0"/>
            </w:pPr>
            <w:r>
              <w:rPr>
                <w:rFonts w:ascii="Times New Roman" w:hAnsi="Times New Roman" w:cs="Times New Roman" w:eastAsia="Times New Roman"/>
                <w:sz w:val="20"/>
                <w:szCs w:val="20"/>
              </w:rPr>
              <w:t xml:space="preserve">54,960</w:t>
            </w:r>
          </w:p>
        </w:tc>
        <w:tc>
          <w:tcPr/>
          <w:p>
            <w:pPr>
              <w:pStyle w:val="Normal"/>
              <w:jc w:val="left"/>
              <w:spacing w:line="240" w:lineRule="auto" w:after="0"/>
            </w:pPr>
            <w:r>
              <w:rPr>
                <w:rFonts w:ascii="Times New Roman" w:hAnsi="Times New Roman" w:cs="Times New Roman" w:eastAsia="Times New Roman"/>
                <w:sz w:val="20"/>
                <w:szCs w:val="20"/>
              </w:rPr>
              <w:t xml:space="preserve">16,573</w:t>
            </w:r>
          </w:p>
        </w:tc>
      </w:tr>
      <w:tr>
        <w:tc>
          <w:tcPr/>
          <w:p>
            <w:pPr>
              <w:pStyle w:val="Normal"/>
              <w:jc w:val="left"/>
              <w:spacing w:line="240" w:lineRule="auto" w:after="0"/>
            </w:pPr>
            <w:r>
              <w:rPr>
                <w:rFonts w:ascii="Times New Roman" w:hAnsi="Times New Roman" w:cs="Times New Roman" w:eastAsia="Times New Roman"/>
                <w:sz w:val="20"/>
                <w:szCs w:val="20"/>
              </w:rPr>
              <w:t xml:space="preserve">Anker 2006</w:t>
            </w:r>
          </w:p>
        </w:tc>
        <w:tc>
          <w:tcPr/>
          <w:p>
            <w:pPr>
              <w:pStyle w:val="Normal"/>
              <w:jc w:val="left"/>
              <w:spacing w:line="240" w:lineRule="auto" w:after="0"/>
            </w:pPr>
            <w:r>
              <w:rPr>
                <w:rFonts w:ascii="Times New Roman" w:hAnsi="Times New Roman" w:cs="Times New Roman" w:eastAsia="Times New Roman"/>
                <w:sz w:val="20"/>
                <w:szCs w:val="20"/>
              </w:rPr>
              <w:t xml:space="preserve">OBS</w:t>
            </w:r>
          </w:p>
        </w:tc>
        <w:tc>
          <w:tcPr/>
          <w:p>
            <w:pPr>
              <w:pStyle w:val="Normal"/>
              <w:jc w:val="left"/>
              <w:spacing w:line="240" w:lineRule="auto" w:after="0"/>
            </w:pPr>
            <w:r>
              <w:rPr>
                <w:rFonts w:ascii="Times New Roman" w:hAnsi="Times New Roman" w:cs="Times New Roman" w:eastAsia="Times New Roman"/>
                <w:sz w:val="20"/>
                <w:szCs w:val="20"/>
              </w:rPr>
              <w:t xml:space="preserve">0.75 (0.66–0.85)</w:t>
            </w:r>
          </w:p>
        </w:tc>
        <w:tc>
          <w:tcPr/>
          <w:p>
            <w:pPr>
              <w:pStyle w:val="Normal"/>
              <w:jc w:val="left"/>
              <w:spacing w:line="240" w:lineRule="auto" w:after="0"/>
            </w:pPr>
            <w:r>
              <w:rPr>
                <w:rFonts w:ascii="Times New Roman" w:hAnsi="Times New Roman" w:cs="Times New Roman" w:eastAsia="Times New Roman"/>
                <w:sz w:val="20"/>
                <w:szCs w:val="20"/>
              </w:rPr>
              <w:t xml:space="preserve">10,510</w:t>
            </w:r>
          </w:p>
        </w:tc>
        <w:tc>
          <w:tcPr/>
          <w:p>
            <w:pPr>
              <w:pStyle w:val="Normal"/>
              <w:jc w:val="left"/>
              <w:spacing w:line="240" w:lineRule="auto" w:after="0"/>
            </w:pPr>
            <w:r>
              <w:rPr>
                <w:rFonts w:ascii="Times New Roman" w:hAnsi="Times New Roman" w:cs="Times New Roman" w:eastAsia="Times New Roman"/>
                <w:sz w:val="20"/>
                <w:szCs w:val="20"/>
              </w:rPr>
              <w:t xml:space="preserve">2,890</w:t>
            </w:r>
          </w:p>
        </w:tc>
      </w:tr>
      <w:tr>
        <w:tc>
          <w:tcPr/>
          <w:p>
            <w:pPr>
              <w:pStyle w:val="Normal"/>
              <w:jc w:val="left"/>
              <w:spacing w:line="240" w:lineRule="auto" w:after="0"/>
            </w:pPr>
            <w:r>
              <w:rPr>
                <w:rFonts w:ascii="Times New Roman" w:hAnsi="Times New Roman" w:cs="Times New Roman" w:eastAsia="Times New Roman"/>
                <w:sz w:val="20"/>
                <w:szCs w:val="20"/>
              </w:rPr>
              <w:t xml:space="preserve">CORONA 2007</w:t>
            </w:r>
          </w:p>
        </w:tc>
        <w:tc>
          <w:tcPr/>
          <w:p>
            <w:pPr>
              <w:pStyle w:val="Normal"/>
              <w:jc w:val="left"/>
              <w:spacing w:line="240" w:lineRule="auto" w:after="0"/>
            </w:pPr>
            <w:r>
              <w:rPr>
                <w:rFonts w:ascii="Times New Roman" w:hAnsi="Times New Roman" w:cs="Times New Roman" w:eastAsia="Times New Roman"/>
                <w:sz w:val="20"/>
                <w:szCs w:val="20"/>
              </w:rPr>
              <w:t xml:space="preserve">RCT</w:t>
            </w:r>
          </w:p>
        </w:tc>
        <w:tc>
          <w:tcPr/>
          <w:p>
            <w:pPr>
              <w:pStyle w:val="Normal"/>
              <w:jc w:val="left"/>
              <w:spacing w:line="240" w:lineRule="auto" w:after="0"/>
            </w:pPr>
            <w:r>
              <w:rPr>
                <w:rFonts w:ascii="Times New Roman" w:hAnsi="Times New Roman" w:cs="Times New Roman" w:eastAsia="Times New Roman"/>
                <w:sz w:val="20"/>
                <w:szCs w:val="20"/>
              </w:rPr>
              <w:t xml:space="preserve">0.95 (0.86–1.05)</w:t>
            </w:r>
          </w:p>
        </w:tc>
        <w:tc>
          <w:tcPr/>
          <w:p>
            <w:pPr>
              <w:pStyle w:val="Normal"/>
              <w:jc w:val="left"/>
              <w:spacing w:line="240" w:lineRule="auto" w:after="0"/>
            </w:pPr>
            <w:r>
              <w:rPr>
                <w:rFonts w:ascii="Times New Roman" w:hAnsi="Times New Roman" w:cs="Times New Roman" w:eastAsia="Times New Roman"/>
                <w:sz w:val="20"/>
                <w:szCs w:val="20"/>
              </w:rPr>
              <w:t xml:space="preserve">5,011</w:t>
            </w:r>
          </w:p>
        </w:tc>
        <w:tc>
          <w:tcPr/>
          <w:p>
            <w:pPr>
              <w:pStyle w:val="Normal"/>
              <w:jc w:val="left"/>
              <w:spacing w:line="240" w:lineRule="auto" w:after="0"/>
            </w:pPr>
            <w:r>
              <w:rPr>
                <w:rFonts w:ascii="Times New Roman" w:hAnsi="Times New Roman" w:cs="Times New Roman" w:eastAsia="Times New Roman"/>
                <w:sz w:val="20"/>
                <w:szCs w:val="20"/>
              </w:rPr>
              <w:t xml:space="preserve">728</w:t>
            </w:r>
          </w:p>
        </w:tc>
      </w:tr>
      <w:tr>
        <w:tc>
          <w:tcPr/>
          <w:p>
            <w:pPr>
              <w:pStyle w:val="Normal"/>
              <w:jc w:val="left"/>
              <w:spacing w:line="240" w:lineRule="auto" w:after="0"/>
            </w:pPr>
            <w:r>
              <w:rPr>
                <w:rFonts w:ascii="Times New Roman" w:hAnsi="Times New Roman" w:cs="Times New Roman" w:eastAsia="Times New Roman"/>
                <w:sz w:val="20"/>
                <w:szCs w:val="20"/>
              </w:rPr>
              <w:t xml:space="preserve">GISSI-HF 2008</w:t>
            </w:r>
          </w:p>
        </w:tc>
        <w:tc>
          <w:tcPr/>
          <w:p>
            <w:pPr>
              <w:pStyle w:val="Normal"/>
              <w:jc w:val="left"/>
              <w:spacing w:line="240" w:lineRule="auto" w:after="0"/>
            </w:pPr>
            <w:r>
              <w:rPr>
                <w:rFonts w:ascii="Times New Roman" w:hAnsi="Times New Roman" w:cs="Times New Roman" w:eastAsia="Times New Roman"/>
                <w:sz w:val="20"/>
                <w:szCs w:val="20"/>
              </w:rPr>
              <w:t xml:space="preserve">RCT</w:t>
            </w:r>
          </w:p>
        </w:tc>
        <w:tc>
          <w:tcPr/>
          <w:p>
            <w:pPr>
              <w:pStyle w:val="Normal"/>
              <w:jc w:val="left"/>
              <w:spacing w:line="240" w:lineRule="auto" w:after="0"/>
            </w:pPr>
            <w:r>
              <w:rPr>
                <w:rFonts w:ascii="Times New Roman" w:hAnsi="Times New Roman" w:cs="Times New Roman" w:eastAsia="Times New Roman"/>
                <w:sz w:val="20"/>
                <w:szCs w:val="20"/>
              </w:rPr>
              <w:t xml:space="preserve">1.00 (0.90–1.12)</w:t>
            </w:r>
          </w:p>
        </w:tc>
        <w:tc>
          <w:tcPr/>
          <w:p>
            <w:pPr>
              <w:pStyle w:val="Normal"/>
              <w:jc w:val="left"/>
              <w:spacing w:line="240" w:lineRule="auto" w:after="0"/>
            </w:pPr>
            <w:r>
              <w:rPr>
                <w:rFonts w:ascii="Times New Roman" w:hAnsi="Times New Roman" w:cs="Times New Roman" w:eastAsia="Times New Roman"/>
                <w:sz w:val="20"/>
                <w:szCs w:val="20"/>
              </w:rPr>
              <w:t xml:space="preserve">4,574</w:t>
            </w:r>
          </w:p>
        </w:tc>
        <w:tc>
          <w:tcPr/>
          <w:p>
            <w:pPr>
              <w:pStyle w:val="Normal"/>
              <w:jc w:val="left"/>
              <w:spacing w:line="240" w:lineRule="auto" w:after="0"/>
            </w:pPr>
            <w:r>
              <w:rPr>
                <w:rFonts w:ascii="Times New Roman" w:hAnsi="Times New Roman" w:cs="Times New Roman" w:eastAsia="Times New Roman"/>
                <w:sz w:val="20"/>
                <w:szCs w:val="20"/>
              </w:rPr>
              <w:t xml:space="preserve">657</w:t>
            </w:r>
          </w:p>
        </w:tc>
      </w:tr>
    </w:tbl>
    <w:p>
      <w:pPr>
        <w:jc w:val="center"/>
      </w:pPr>
      <w:r>
        <w:drawing>
          <wp:inline xmlns:a="http://schemas.openxmlformats.org/drawingml/2006/main" xmlns:pic="http://schemas.openxmlformats.org/drawingml/2006/picture">
            <wp:extent cx="5029200" cy="2063370"/>
            <wp:docPr id="2" name="Picture 2"/>
            <wp:cNvGraphicFramePr>
              <a:graphicFrameLocks noChangeAspect="1"/>
            </wp:cNvGraphicFramePr>
            <a:graphic>
              <a:graphicData uri="http://schemas.openxmlformats.org/drawingml/2006/picture">
                <pic:pic>
                  <pic:nvPicPr>
                    <pic:cNvPr id="0" name="fig2_risk_profile_shift.png"/>
                    <pic:cNvPicPr/>
                  </pic:nvPicPr>
                  <pic:blipFill>
                    <a:blip r:embed="rId10"/>
                    <a:stretch>
                      <a:fillRect/>
                    </a:stretch>
                  </pic:blipFill>
                  <pic:spPr>
                    <a:xfrm>
                      <a:off x="0" y="0"/>
                      <a:ext cx="5029200" cy="2063370"/>
                    </a:xfrm>
                    <a:prstGeom prst="rect"/>
                  </pic:spPr>
                </pic:pic>
              </a:graphicData>
            </a:graphic>
          </wp:inline>
        </w:drawing>
      </w:r>
    </w:p>
    <w:p>
      <w:pPr>
        <w:jc w:val="left"/>
      </w:pPr>
      <w:r>
        <w:rPr>
          <w:rFonts w:ascii="Times New Roman" w:hAnsi="Times New Roman"/>
          <w:b/>
          <w:sz w:val="20"/>
        </w:rPr>
        <w:t xml:space="preserve">Figure 2. </w:t>
      </w:r>
      <w:r>
        <w:rPr>
          <w:rFonts w:ascii="Times New Roman" w:hAnsi="Times New Roman"/>
          <w:sz w:val="20"/>
        </w:rPr>
        <w:t>Risk-profile shift in the magnesium-in-AMI case. (A) Control-group mortality rates over time, with bubble size proportional to study sample size and colors indicating era. (B) Weighted mean control mortality by era.</w:t>
      </w:r>
    </w:p>
    <w:p>
      <w:pPr>
        <w:pStyle w:val="Heading3"/>
      </w:pPr>
      <w:r>
        <w:rPr>
          <w:rFonts w:ascii="Times New Roman" w:hAnsi="Times New Roman"/>
          <w:b/>
          <w:color w:val="000000"/>
          <w:sz w:val="24"/>
        </w:rPr>
        <w:t>Counterfactual power simulation</w:t>
      </w:r>
    </w:p>
    <w:p xmlns:a="http://schemas.openxmlformats.org/drawingml/2006/main" xmlns:pic="http://schemas.openxmlformats.org/drawingml/2006/picture">
      <w:pPr>
        <w:pStyle w:val="Normal"/>
        <w:spacing w:line="480" w:lineRule="auto" w:after="120"/>
      </w:pPr>
      <w:r>
        <w:rPr>
          <w:rFonts w:ascii="Times New Roman" w:hAnsi="Times New Roman" w:cs="Times New Roman" w:eastAsia="Times New Roman"/>
          <w:sz w:val="24"/>
          <w:szCs w:val="24"/>
        </w:rPr>
        <w:t xml:space="preserve">At the ISIS-4 sample size (N = 58,050) and the pre-ISIS-4 pooled effect (OR = 0.54), power exceeded 99% under all three event-rate scenarios. For a more modest effect (OR = 0.90), however, power was 95.8% under the pre-thrombolysis rate and 91.5% under the ISIS-4 rate (Fig. 3A). For statins, power to detect the observational effect (HR = 0.72) was 100.0% under the observational event rate and 99.1% under the RCT event rate; for a more modest effect (HR = 0.85), power fell from 84.6% to 58.3%—a 26 percentage-point reduction attributable to event dilution (Fig. 3B).</w:t>
      </w:r>
    </w:p>
    <w:p>
      <w:pPr>
        <w:jc w:val="center"/>
      </w:pPr>
      <w:r>
        <w:drawing>
          <wp:inline xmlns:a="http://schemas.openxmlformats.org/drawingml/2006/main" xmlns:pic="http://schemas.openxmlformats.org/drawingml/2006/picture">
            <wp:extent cx="5029200" cy="2097128"/>
            <wp:docPr id="3" name="Picture 3"/>
            <wp:cNvGraphicFramePr>
              <a:graphicFrameLocks noChangeAspect="1"/>
            </wp:cNvGraphicFramePr>
            <a:graphic>
              <a:graphicData uri="http://schemas.openxmlformats.org/drawingml/2006/picture">
                <pic:pic>
                  <pic:nvPicPr>
                    <pic:cNvPr id="0" name="fig3_power_curves.png"/>
                    <pic:cNvPicPr/>
                  </pic:nvPicPr>
                  <pic:blipFill>
                    <a:blip r:embed="rId11"/>
                    <a:stretch>
                      <a:fillRect/>
                    </a:stretch>
                  </pic:blipFill>
                  <pic:spPr>
                    <a:xfrm>
                      <a:off x="0" y="0"/>
                      <a:ext cx="5029200" cy="2097128"/>
                    </a:xfrm>
                    <a:prstGeom prst="rect"/>
                  </pic:spPr>
                </pic:pic>
              </a:graphicData>
            </a:graphic>
          </wp:inline>
        </w:drawing>
      </w:r>
    </w:p>
    <w:p>
      <w:pPr>
        <w:jc w:val="left"/>
      </w:pPr>
      <w:r>
        <w:rPr>
          <w:rFonts w:ascii="Times New Roman" w:hAnsi="Times New Roman"/>
          <w:b/>
          <w:sz w:val="20"/>
        </w:rPr>
        <w:t xml:space="preserve">Figure 3. </w:t>
      </w:r>
      <w:r>
        <w:rPr>
          <w:rFonts w:ascii="Times New Roman" w:hAnsi="Times New Roman"/>
          <w:sz w:val="20"/>
        </w:rPr>
        <w:t>Estimated power by enrollment scenario and true effect size. (A) Magnesium in AMI at the ISIS-4 sample size (N = 58,050). (B) Statins in HF at the combined RCT sample size (N = 9,585). S1 = real-world/observational event rate; S2 = RCT event rate; S3 = intermediate/enriched rate. Horizontal dashed lines indicate 80% power.</w:t>
      </w:r>
    </w:p>
    <w:p>
      <w:pPr>
        <w:pStyle w:val="Heading3"/>
      </w:pPr>
      <w:r>
        <w:rPr>
          <w:rFonts w:ascii="Times New Roman" w:hAnsi="Times New Roman"/>
          <w:b/>
          <w:color w:val="000000"/>
          <w:sz w:val="24"/>
        </w:rPr>
        <w:t>Frequentist meta-analysis and trial sequential analysis</w:t>
      </w:r>
    </w:p>
    <w:p xmlns:a="http://schemas.openxmlformats.org/drawingml/2006/main" xmlns:pic="http://schemas.openxmlformats.org/drawingml/2006/picture">
      <w:pPr>
        <w:pStyle w:val="Normal"/>
        <w:spacing w:line="480" w:lineRule="auto" w:after="120"/>
      </w:pPr>
      <w:r>
        <w:rPr>
          <w:rFonts w:ascii="Times New Roman" w:hAnsi="Times New Roman" w:cs="Times New Roman" w:eastAsia="Times New Roman"/>
          <w:sz w:val="24"/>
          <w:szCs w:val="24"/>
        </w:rPr>
        <w:t xml:space="preserve">Random-effects meta-analysis of the 11 pre-ISIS-4 magnesium trials yielded OR = 0.54 (95% CI: 0.40-0.75) with</w:t>
      </w:r>
      <w:r>
        <w:rPr>
          <w:rFonts w:ascii="Times New Roman" w:hAnsi="Times New Roman" w:cs="Times New Roman" w:eastAsia="Times New Roman"/>
          <w:sz w:val="24"/>
          <w:szCs w:val="24"/>
        </w:rPr>
        <w:t xml:space="preserve"> </w:t>
      </w:r>
      <m:oMath>
        <m:sSup>
          <m:e>
            <m:r>
              <m:t>I</m:t>
            </m:r>
          </m:e>
          <m:sup>
            <m:r>
              <m:t>2</m:t>
            </m:r>
          </m:sup>
        </m:sSup>
      </m:oMath>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6%. Adding ISIS-4 changed the pooled estimate to OR = 0.56 (0.38-0.83), but heterogeneity increased to</w:t>
      </w:r>
      <w:r>
        <w:rPr>
          <w:rFonts w:ascii="Times New Roman" w:hAnsi="Times New Roman" w:cs="Times New Roman" w:eastAsia="Times New Roman"/>
          <w:sz w:val="24"/>
          <w:szCs w:val="24"/>
        </w:rPr>
        <w:t xml:space="preserve"> </w:t>
      </w:r>
      <m:oMath>
        <m:sSup>
          <m:e>
            <m:r>
              <m:t>I</m:t>
            </m:r>
          </m:e>
          <m:sup>
            <m:r>
              <m:t>2</m:t>
            </m:r>
          </m:sup>
        </m:sSup>
      </m:oMath>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62% (Fig. 4). TSA under a fixed-effect accumulation produced a final cumulative</w:t>
      </w:r>
      <w:r>
        <w:rPr>
          <w:rFonts w:ascii="Times New Roman" w:hAnsi="Times New Roman" w:cs="Times New Roman" w:eastAsia="Times New Roman"/>
          <w:sz w:val="24"/>
          <w:szCs w:val="24"/>
        </w:rPr>
        <w:t xml:space="preserve"> </w:t>
      </w:r>
      <m:oMath>
        <m:r>
          <m:t>Z</m:t>
        </m:r>
      </m:oMath>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of 0.80, below the conventional boundary of 1.96; under a random-effects accumulation the final</w:t>
      </w:r>
      <w:r>
        <w:rPr>
          <w:rFonts w:ascii="Times New Roman" w:hAnsi="Times New Roman" w:cs="Times New Roman" w:eastAsia="Times New Roman"/>
          <w:sz w:val="24"/>
          <w:szCs w:val="24"/>
        </w:rPr>
        <w:t xml:space="preserve"> </w:t>
      </w:r>
      <m:oMath>
        <m:r>
          <m:t>Z</m:t>
        </m:r>
      </m:oMath>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was -2.90, crossing the O’Brien-Fleming boundary of 0.27 (Fig. 5). This divergence reflects era-dependent treatment-effect heterogeneity driven by the ISIS-4 result.</w:t>
      </w:r>
    </w:p>
    <w:p>
      <w:pPr>
        <w:jc w:val="center"/>
      </w:pPr>
      <w:r>
        <w:drawing>
          <wp:inline xmlns:a="http://schemas.openxmlformats.org/drawingml/2006/main" xmlns:pic="http://schemas.openxmlformats.org/drawingml/2006/picture">
            <wp:extent cx="5029200" cy="5289798"/>
            <wp:docPr id="4" name="Picture 4"/>
            <wp:cNvGraphicFramePr>
              <a:graphicFrameLocks noChangeAspect="1"/>
            </wp:cNvGraphicFramePr>
            <a:graphic>
              <a:graphicData uri="http://schemas.openxmlformats.org/drawingml/2006/picture">
                <pic:pic>
                  <pic:nvPicPr>
                    <pic:cNvPr id="0" name="fig4_forest_plot_mg.png"/>
                    <pic:cNvPicPr/>
                  </pic:nvPicPr>
                  <pic:blipFill>
                    <a:blip r:embed="rId12"/>
                    <a:stretch>
                      <a:fillRect/>
                    </a:stretch>
                  </pic:blipFill>
                  <pic:spPr>
                    <a:xfrm>
                      <a:off x="0" y="0"/>
                      <a:ext cx="5029200" cy="5289798"/>
                    </a:xfrm>
                    <a:prstGeom prst="rect"/>
                  </pic:spPr>
                </pic:pic>
              </a:graphicData>
            </a:graphic>
          </wp:inline>
        </w:drawing>
      </w:r>
    </w:p>
    <w:p>
      <w:pPr>
        <w:jc w:val="left"/>
      </w:pPr>
      <w:r>
        <w:rPr>
          <w:rFonts w:ascii="Times New Roman" w:hAnsi="Times New Roman"/>
          <w:b/>
          <w:sz w:val="20"/>
        </w:rPr>
        <w:t xml:space="preserve">Figure 4. </w:t>
      </w:r>
      <w:r>
        <w:rPr>
          <w:rFonts w:ascii="Times New Roman" w:hAnsi="Times New Roman"/>
          <w:sz w:val="20"/>
        </w:rPr>
        <w:t>Forest plot for magnesium in AMI. Individual study odds ratios are shown with 95% confidence intervals, color-coded by era. Pooled estimates include frequentist random-effects (pre-ISIS-4 and all trials) and Bayesian integrated estimates at selected discounting levels (α = 0.3, 0.5, 1.0).</w:t>
      </w:r>
    </w:p>
    <w:p>
      <w:pPr>
        <w:jc w:val="center"/>
      </w:pPr>
      <w:r>
        <w:drawing>
          <wp:inline xmlns:a="http://schemas.openxmlformats.org/drawingml/2006/main" xmlns:pic="http://schemas.openxmlformats.org/drawingml/2006/picture">
            <wp:extent cx="5029200" cy="3008295"/>
            <wp:docPr id="5" name="Picture 5"/>
            <wp:cNvGraphicFramePr>
              <a:graphicFrameLocks noChangeAspect="1"/>
            </wp:cNvGraphicFramePr>
            <a:graphic>
              <a:graphicData uri="http://schemas.openxmlformats.org/drawingml/2006/picture">
                <pic:pic>
                  <pic:nvPicPr>
                    <pic:cNvPr id="0" name="fig5_tsa_magnesium.png"/>
                    <pic:cNvPicPr/>
                  </pic:nvPicPr>
                  <pic:blipFill>
                    <a:blip r:embed="rId13"/>
                    <a:stretch>
                      <a:fillRect/>
                    </a:stretch>
                  </pic:blipFill>
                  <pic:spPr>
                    <a:xfrm>
                      <a:off x="0" y="0"/>
                      <a:ext cx="5029200" cy="3008295"/>
                    </a:xfrm>
                    <a:prstGeom prst="rect"/>
                  </pic:spPr>
                </pic:pic>
              </a:graphicData>
            </a:graphic>
          </wp:inline>
        </w:drawing>
      </w:r>
    </w:p>
    <w:p>
      <w:pPr>
        <w:jc w:val="left"/>
      </w:pPr>
      <w:r>
        <w:rPr>
          <w:rFonts w:ascii="Times New Roman" w:hAnsi="Times New Roman"/>
          <w:b/>
          <w:sz w:val="20"/>
        </w:rPr>
        <w:t xml:space="preserve">Figure 5. </w:t>
      </w:r>
      <w:r>
        <w:rPr>
          <w:rFonts w:ascii="Times New Roman" w:hAnsi="Times New Roman"/>
          <w:sz w:val="20"/>
        </w:rPr>
        <w:t>Trial sequential analysis for magnesium in AMI. The cumulative Z-curve is plotted against cumulative events. Vertical dashed line indicates the optimal information size (OIS). Curved lines show O'Brien-Fleming monitoring boundaries.</w:t>
      </w:r>
    </w:p>
    <w:p xmlns:a="http://schemas.openxmlformats.org/drawingml/2006/main" xmlns:pic="http://schemas.openxmlformats.org/drawingml/2006/picture">
      <w:pPr>
        <w:pStyle w:val="Normal"/>
        <w:spacing w:line="480" w:lineRule="auto" w:after="120"/>
      </w:pPr>
      <w:r>
        <w:rPr>
          <w:rFonts w:ascii="Times New Roman" w:hAnsi="Times New Roman" w:cs="Times New Roman" w:eastAsia="Times New Roman"/>
          <w:sz w:val="24"/>
          <w:szCs w:val="24"/>
        </w:rPr>
        <w:t xml:space="preserve">For statins, observational studies showed a pooled HR of 0.72 (95% CI: 0.64-0.80) with</w:t>
      </w:r>
      <w:r>
        <w:rPr>
          <w:rFonts w:ascii="Times New Roman" w:hAnsi="Times New Roman" w:cs="Times New Roman" w:eastAsia="Times New Roman"/>
          <w:sz w:val="24"/>
          <w:szCs w:val="24"/>
        </w:rPr>
        <w:t xml:space="preserve"> </w:t>
      </w:r>
      <m:oMath>
        <m:sSup>
          <m:e>
            <m:r>
              <m:t>I</m:t>
            </m:r>
          </m:e>
          <m:sup>
            <m:r>
              <m:t>2</m:t>
            </m:r>
          </m:sup>
        </m:sSup>
      </m:oMath>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82%, whereas the two RCTs (CORONA and GISSI-HF) yielded HR = 0.97 (0.90-1.05) with</w:t>
      </w:r>
      <w:r>
        <w:rPr>
          <w:rFonts w:ascii="Times New Roman" w:hAnsi="Times New Roman" w:cs="Times New Roman" w:eastAsia="Times New Roman"/>
          <w:sz w:val="24"/>
          <w:szCs w:val="24"/>
        </w:rPr>
        <w:t xml:space="preserve"> </w:t>
      </w:r>
      <m:oMath>
        <m:sSup>
          <m:e>
            <m:r>
              <m:t>I</m:t>
            </m:r>
          </m:e>
          <m:sup>
            <m:r>
              <m:t>2</m:t>
            </m:r>
          </m:sup>
        </m:sSup>
      </m:oMath>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0% (Fig. 6).</w:t>
      </w:r>
    </w:p>
    <w:p>
      <w:pPr>
        <w:jc w:val="center"/>
      </w:pPr>
      <w:r>
        <w:drawing>
          <wp:inline xmlns:a="http://schemas.openxmlformats.org/drawingml/2006/main" xmlns:pic="http://schemas.openxmlformats.org/drawingml/2006/picture">
            <wp:extent cx="5029200" cy="4392292"/>
            <wp:docPr id="6" name="Picture 6"/>
            <wp:cNvGraphicFramePr>
              <a:graphicFrameLocks noChangeAspect="1"/>
            </wp:cNvGraphicFramePr>
            <a:graphic>
              <a:graphicData uri="http://schemas.openxmlformats.org/drawingml/2006/picture">
                <pic:pic>
                  <pic:nvPicPr>
                    <pic:cNvPr id="0" name="fig6_forest_statins.png"/>
                    <pic:cNvPicPr/>
                  </pic:nvPicPr>
                  <pic:blipFill>
                    <a:blip r:embed="rId14"/>
                    <a:stretch>
                      <a:fillRect/>
                    </a:stretch>
                  </pic:blipFill>
                  <pic:spPr>
                    <a:xfrm>
                      <a:off x="0" y="0"/>
                      <a:ext cx="5029200" cy="4392292"/>
                    </a:xfrm>
                    <a:prstGeom prst="rect"/>
                  </pic:spPr>
                </pic:pic>
              </a:graphicData>
            </a:graphic>
          </wp:inline>
        </w:drawing>
      </w:r>
    </w:p>
    <w:p>
      <w:pPr>
        <w:jc w:val="left"/>
      </w:pPr>
      <w:r>
        <w:rPr>
          <w:rFonts w:ascii="Times New Roman" w:hAnsi="Times New Roman"/>
          <w:b/>
          <w:sz w:val="20"/>
        </w:rPr>
        <w:t xml:space="preserve">Figure 6. </w:t>
      </w:r>
      <w:r>
        <w:rPr>
          <w:rFonts w:ascii="Times New Roman" w:hAnsi="Times New Roman"/>
          <w:sz w:val="20"/>
        </w:rPr>
        <w:t>Forest plot for statins in heart failure. Individual study hazard ratios are shown with 95% confidence intervals, grouped by design. Pooled estimates include design-specific frequentist pooling and KOTHA-integrated estimates at selected discounting levels (α = 0.1, 0.3, 0.5).</w:t>
      </w:r>
    </w:p>
    <w:p>
      <w:pPr>
        <w:pStyle w:val="Heading3"/>
      </w:pPr>
      <w:r>
        <w:rPr>
          <w:rFonts w:ascii="Times New Roman" w:hAnsi="Times New Roman"/>
          <w:b/>
          <w:color w:val="000000"/>
          <w:sz w:val="24"/>
        </w:rPr>
        <w:t>Bayesian integration</w:t>
      </w:r>
    </w:p>
    <w:p xmlns:a="http://schemas.openxmlformats.org/drawingml/2006/main" xmlns:pic="http://schemas.openxmlformats.org/drawingml/2006/picture">
      <w:pPr>
        <w:pStyle w:val="Normal"/>
        <w:spacing w:line="480" w:lineRule="auto" w:after="120"/>
      </w:pPr>
      <w:r>
        <w:rPr>
          <w:rFonts w:ascii="Times New Roman" w:hAnsi="Times New Roman" w:cs="Times New Roman" w:eastAsia="Times New Roman"/>
          <w:sz w:val="24"/>
          <w:szCs w:val="24"/>
        </w:rPr>
        <w:t xml:space="preserve">Bayesian integration (Table 5) showed that for magnesium, with</w:t>
      </w:r>
      <w:r>
        <w:rPr>
          <w:rFonts w:ascii="Times New Roman" w:hAnsi="Times New Roman" w:cs="Times New Roman" w:eastAsia="Times New Roman"/>
          <w:sz w:val="24"/>
          <w:szCs w:val="24"/>
        </w:rPr>
        <w:t xml:space="preserve"> </w:t>
      </w:r>
      <m:oMath>
        <m:r>
          <m:t>α</m:t>
        </m:r>
      </m:oMath>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0 (ISIS-4 only), the posterior median OR was 1.11 with 30.6% probability of benefit. With</w:t>
      </w:r>
      <w:r>
        <w:rPr>
          <w:rFonts w:ascii="Times New Roman" w:hAnsi="Times New Roman" w:cs="Times New Roman" w:eastAsia="Times New Roman"/>
          <w:sz w:val="24"/>
          <w:szCs w:val="24"/>
        </w:rPr>
        <w:t xml:space="preserve"> </w:t>
      </w:r>
      <m:oMath>
        <m:r>
          <m:t>α</m:t>
        </m:r>
      </m:oMath>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0.3 the posterior shifted to OR = 0.73 (95% CrI: 0.28-2.09), with 77% probability of benefit (Fig. 7A). For statins (Table 6), with</w:t>
      </w:r>
      <w:r>
        <w:rPr>
          <w:rFonts w:ascii="Times New Roman" w:hAnsi="Times New Roman" w:cs="Times New Roman" w:eastAsia="Times New Roman"/>
          <w:sz w:val="24"/>
          <w:szCs w:val="24"/>
        </w:rPr>
        <w:t xml:space="preserve"> </w:t>
      </w:r>
      <m:oMath>
        <m:r>
          <m:t>α</m:t>
        </m:r>
      </m:oMath>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0 (RCTs only) the posterior probability of benefit was 60.9% and the probability of a clinically meaningful benefit (HR &lt; 0.90) was 17.7%. With</w:t>
      </w:r>
      <w:r>
        <w:rPr>
          <w:rFonts w:ascii="Times New Roman" w:hAnsi="Times New Roman" w:cs="Times New Roman" w:eastAsia="Times New Roman"/>
          <w:sz w:val="24"/>
          <w:szCs w:val="24"/>
        </w:rPr>
        <w:t xml:space="preserve"> </w:t>
      </w:r>
      <m:oMath>
        <m:r>
          <m:t>α</m:t>
        </m:r>
      </m:oMath>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0.3 these probabilities rose to 83.7% and 65.7%, respectively (Fig. 7B). Even with moderate borrowing from observational evidence, conclusions remained uncertain.</w:t>
      </w:r>
    </w:p>
    <w:p>
      <w:r>
        <w:rPr>
          <w:rFonts w:ascii="Times New Roman" w:hAnsi="Times New Roman"/>
          <w:b/>
          <w:i w:val="0"/>
          <w:sz w:val="24"/>
        </w:rPr>
        <w:t>Table 5: Bayesian integration --- Magnesium in AMI (power prior)</w:t>
      </w:r>
    </w:p>
    <w:tbl xmlns:a="http://schemas.openxmlformats.org/drawingml/2006/main" xmlns:pic="http://schemas.openxmlformats.org/drawingml/2006/picture">
      <w:tblPr>
        <w:tblStyle w:val="Table Grid"/>
        <w:tblW w:type="auto" w:w="0"/>
        <w:tblLook w:firstRow="1" w:lastRow="0" w:firstColumn="0" w:lastColumn="0" w:noHBand="0" w:noVBand="0" w:val="0020"/>
        <w:jc w:val="center"/>
      </w:tblPr>
      <w:tblGrid>
        <w:gridCol w:w="1584"/>
        <w:gridCol w:w="1584"/>
        <w:gridCol w:w="1584"/>
        <w:gridCol w:w="1584"/>
        <w:gridCol w:w="1584"/>
      </w:tblGrid>
      <w:tr>
        <w:trPr>
          <w:tblHeader w:val="true"/>
        </w:trPr>
        <w:tc>
          <w:tcPr/>
          <w:p>
            <w:pPr>
              <w:pStyle w:val="Normal"/>
              <w:jc w:val="left"/>
              <w:spacing w:line="240" w:lineRule="auto" w:after="0"/>
            </w:pPr>
            <m:oMath>
              <m:r>
                <m:t>α</m:t>
              </m:r>
            </m:oMath>
          </w:p>
        </w:tc>
        <w:tc>
          <w:tcPr/>
          <w:p>
            <w:pPr>
              <w:pStyle w:val="Normal"/>
              <w:jc w:val="left"/>
              <w:spacing w:line="240" w:lineRule="auto" w:after="0"/>
            </w:pPr>
            <w:r>
              <w:rPr>
                <w:rFonts w:ascii="Times New Roman" w:hAnsi="Times New Roman" w:cs="Times New Roman" w:eastAsia="Times New Roman"/>
                <w:sz w:val="20"/>
                <w:szCs w:val="20"/>
                <w:b/>
              </w:rPr>
              <w:t xml:space="preserve">OR (95% CrI)</w:t>
            </w:r>
          </w:p>
        </w:tc>
        <w:tc>
          <w:tcPr/>
          <w:p>
            <w:pPr>
              <w:pStyle w:val="Normal"/>
              <w:jc w:val="left"/>
              <w:spacing w:line="240" w:lineRule="auto" w:after="0"/>
            </w:pPr>
            <w:r>
              <w:rPr>
                <w:rFonts w:ascii="Times New Roman" w:hAnsi="Times New Roman" w:cs="Times New Roman" w:eastAsia="Times New Roman"/>
                <w:sz w:val="20"/>
                <w:szCs w:val="20"/>
                <w:b/>
              </w:rPr>
              <w:t xml:space="preserve">P(OR &lt; 1)</w:t>
            </w:r>
          </w:p>
        </w:tc>
        <w:tc>
          <w:tcPr/>
          <w:p>
            <w:pPr>
              <w:pStyle w:val="Normal"/>
              <w:jc w:val="left"/>
              <w:spacing w:line="240" w:lineRule="auto" w:after="0"/>
            </w:pPr>
            <w:r>
              <w:rPr>
                <w:rFonts w:ascii="Times New Roman" w:hAnsi="Times New Roman" w:cs="Times New Roman" w:eastAsia="Times New Roman"/>
                <w:sz w:val="20"/>
                <w:szCs w:val="20"/>
                <w:b/>
              </w:rPr>
              <w:t xml:space="preserve">P(OR &lt; 0.90)</w:t>
            </w:r>
          </w:p>
        </w:tc>
        <w:tc>
          <w:tcPr/>
          <w:p>
            <w:pPr>
              <w:pStyle w:val="Normal"/>
              <w:jc w:val="left"/>
              <w:spacing w:line="240" w:lineRule="auto" w:after="0"/>
            </w:pPr>
            <w:r>
              <w:rPr>
                <w:rFonts w:ascii="Times New Roman" w:hAnsi="Times New Roman" w:cs="Times New Roman" w:eastAsia="Times New Roman"/>
                <w:sz w:val="20"/>
                <w:szCs w:val="20"/>
                <w:b/>
              </w:rPr>
              <w:t xml:space="preserve">P(OR &lt; 0.80)</w:t>
            </w:r>
          </w:p>
        </w:tc>
      </w:tr>
      <w:tr>
        <w:tc>
          <w:tcPr/>
          <w:p>
            <w:pPr>
              <w:pStyle w:val="Normal"/>
              <w:jc w:val="left"/>
              <w:spacing w:line="240" w:lineRule="auto" w:after="0"/>
            </w:pPr>
            <w:r>
              <w:rPr>
                <w:rFonts w:ascii="Times New Roman" w:hAnsi="Times New Roman" w:cs="Times New Roman" w:eastAsia="Times New Roman"/>
                <w:sz w:val="20"/>
                <w:szCs w:val="20"/>
              </w:rPr>
              <w:t xml:space="preserve">0.0 (ISIS-4 only)</w:t>
            </w:r>
          </w:p>
        </w:tc>
        <w:tc>
          <w:tcPr/>
          <w:p>
            <w:pPr>
              <w:pStyle w:val="Normal"/>
              <w:jc w:val="left"/>
              <w:spacing w:line="240" w:lineRule="auto" w:after="0"/>
            </w:pPr>
            <w:r>
              <w:rPr>
                <w:rFonts w:ascii="Times New Roman" w:hAnsi="Times New Roman" w:cs="Times New Roman" w:eastAsia="Times New Roman"/>
                <w:sz w:val="20"/>
                <w:szCs w:val="20"/>
              </w:rPr>
              <w:t xml:space="preserve">1.11 (0.43–7.03)</w:t>
            </w:r>
          </w:p>
        </w:tc>
        <w:tc>
          <w:tcPr/>
          <w:p>
            <w:pPr>
              <w:pStyle w:val="Normal"/>
              <w:jc w:val="left"/>
              <w:spacing w:line="240" w:lineRule="auto" w:after="0"/>
            </w:pPr>
            <w:r>
              <w:rPr>
                <w:rFonts w:ascii="Times New Roman" w:hAnsi="Times New Roman" w:cs="Times New Roman" w:eastAsia="Times New Roman"/>
                <w:sz w:val="20"/>
                <w:szCs w:val="20"/>
              </w:rPr>
              <w:t xml:space="preserve">30.6%</w:t>
            </w:r>
          </w:p>
        </w:tc>
        <w:tc>
          <w:tcPr/>
          <w:p>
            <w:pPr>
              <w:pStyle w:val="Normal"/>
              <w:jc w:val="left"/>
              <w:spacing w:line="240" w:lineRule="auto" w:after="0"/>
            </w:pPr>
            <w:r>
              <w:rPr>
                <w:rFonts w:ascii="Times New Roman" w:hAnsi="Times New Roman" w:cs="Times New Roman" w:eastAsia="Times New Roman"/>
                <w:sz w:val="20"/>
                <w:szCs w:val="20"/>
              </w:rPr>
              <w:t xml:space="preserve">22.2%</w:t>
            </w:r>
          </w:p>
        </w:tc>
        <w:tc>
          <w:tcPr/>
          <w:p>
            <w:pPr>
              <w:pStyle w:val="Normal"/>
              <w:jc w:val="left"/>
              <w:spacing w:line="240" w:lineRule="auto" w:after="0"/>
            </w:pPr>
            <w:r>
              <w:rPr>
                <w:rFonts w:ascii="Times New Roman" w:hAnsi="Times New Roman" w:cs="Times New Roman" w:eastAsia="Times New Roman"/>
                <w:sz w:val="20"/>
                <w:szCs w:val="20"/>
              </w:rPr>
              <w:t xml:space="preserve">16.2%</w:t>
            </w:r>
          </w:p>
        </w:tc>
      </w:tr>
      <w:tr>
        <w:tc>
          <w:tcPr/>
          <w:p>
            <w:pPr>
              <w:pStyle w:val="Normal"/>
              <w:jc w:val="left"/>
              <w:spacing w:line="240" w:lineRule="auto" w:after="0"/>
            </w:pPr>
            <w:r>
              <w:rPr>
                <w:rFonts w:ascii="Times New Roman" w:hAnsi="Times New Roman" w:cs="Times New Roman" w:eastAsia="Times New Roman"/>
                <w:sz w:val="20"/>
                <w:szCs w:val="20"/>
              </w:rPr>
              <w:t xml:space="preserve">0.1</w:t>
            </w:r>
          </w:p>
        </w:tc>
        <w:tc>
          <w:tcPr/>
          <w:p>
            <w:pPr>
              <w:pStyle w:val="Normal"/>
              <w:jc w:val="left"/>
              <w:spacing w:line="240" w:lineRule="auto" w:after="0"/>
            </w:pPr>
            <w:r>
              <w:rPr>
                <w:rFonts w:ascii="Times New Roman" w:hAnsi="Times New Roman" w:cs="Times New Roman" w:eastAsia="Times New Roman"/>
                <w:sz w:val="20"/>
                <w:szCs w:val="20"/>
              </w:rPr>
              <w:t xml:space="preserve">1.00 (0.31–3.51)</w:t>
            </w:r>
          </w:p>
        </w:tc>
        <w:tc>
          <w:tcPr/>
          <w:p>
            <w:pPr>
              <w:pStyle w:val="Normal"/>
              <w:jc w:val="left"/>
              <w:spacing w:line="240" w:lineRule="auto" w:after="0"/>
            </w:pPr>
            <w:r>
              <w:rPr>
                <w:rFonts w:ascii="Times New Roman" w:hAnsi="Times New Roman" w:cs="Times New Roman" w:eastAsia="Times New Roman"/>
                <w:sz w:val="20"/>
                <w:szCs w:val="20"/>
              </w:rPr>
              <w:t xml:space="preserve">50.7%</w:t>
            </w:r>
          </w:p>
        </w:tc>
        <w:tc>
          <w:tcPr/>
          <w:p>
            <w:pPr>
              <w:pStyle w:val="Normal"/>
              <w:jc w:val="left"/>
              <w:spacing w:line="240" w:lineRule="auto" w:after="0"/>
            </w:pPr>
            <w:r>
              <w:rPr>
                <w:rFonts w:ascii="Times New Roman" w:hAnsi="Times New Roman" w:cs="Times New Roman" w:eastAsia="Times New Roman"/>
                <w:sz w:val="20"/>
                <w:szCs w:val="20"/>
              </w:rPr>
              <w:t xml:space="preserve">36.6%</w:t>
            </w:r>
          </w:p>
        </w:tc>
        <w:tc>
          <w:tcPr/>
          <w:p>
            <w:pPr>
              <w:pStyle w:val="Normal"/>
              <w:jc w:val="left"/>
              <w:spacing w:line="240" w:lineRule="auto" w:after="0"/>
            </w:pPr>
            <w:r>
              <w:rPr>
                <w:rFonts w:ascii="Times New Roman" w:hAnsi="Times New Roman" w:cs="Times New Roman" w:eastAsia="Times New Roman"/>
                <w:sz w:val="20"/>
                <w:szCs w:val="20"/>
              </w:rPr>
              <w:t xml:space="preserve">27.9%</w:t>
            </w:r>
          </w:p>
        </w:tc>
      </w:tr>
      <w:tr>
        <w:tc>
          <w:tcPr/>
          <w:p>
            <w:pPr>
              <w:pStyle w:val="Normal"/>
              <w:jc w:val="left"/>
              <w:spacing w:line="240" w:lineRule="auto" w:after="0"/>
            </w:pPr>
            <w:r>
              <w:rPr>
                <w:rFonts w:ascii="Times New Roman" w:hAnsi="Times New Roman" w:cs="Times New Roman" w:eastAsia="Times New Roman"/>
                <w:sz w:val="20"/>
                <w:szCs w:val="20"/>
              </w:rPr>
              <w:t xml:space="preserve">0.2</w:t>
            </w:r>
          </w:p>
        </w:tc>
        <w:tc>
          <w:tcPr/>
          <w:p>
            <w:pPr>
              <w:pStyle w:val="Normal"/>
              <w:jc w:val="left"/>
              <w:spacing w:line="240" w:lineRule="auto" w:after="0"/>
            </w:pPr>
            <w:r>
              <w:rPr>
                <w:rFonts w:ascii="Times New Roman" w:hAnsi="Times New Roman" w:cs="Times New Roman" w:eastAsia="Times New Roman"/>
                <w:sz w:val="20"/>
                <w:szCs w:val="20"/>
              </w:rPr>
              <w:t xml:space="preserve">0.85 (0.31–2.50)</w:t>
            </w:r>
          </w:p>
        </w:tc>
        <w:tc>
          <w:tcPr/>
          <w:p>
            <w:pPr>
              <w:pStyle w:val="Normal"/>
              <w:jc w:val="left"/>
              <w:spacing w:line="240" w:lineRule="auto" w:after="0"/>
            </w:pPr>
            <w:r>
              <w:rPr>
                <w:rFonts w:ascii="Times New Roman" w:hAnsi="Times New Roman" w:cs="Times New Roman" w:eastAsia="Times New Roman"/>
                <w:sz w:val="20"/>
                <w:szCs w:val="20"/>
              </w:rPr>
              <w:t xml:space="preserve">66.5%</w:t>
            </w:r>
          </w:p>
        </w:tc>
        <w:tc>
          <w:tcPr/>
          <w:p>
            <w:pPr>
              <w:pStyle w:val="Normal"/>
              <w:jc w:val="left"/>
              <w:spacing w:line="240" w:lineRule="auto" w:after="0"/>
            </w:pPr>
            <w:r>
              <w:rPr>
                <w:rFonts w:ascii="Times New Roman" w:hAnsi="Times New Roman" w:cs="Times New Roman" w:eastAsia="Times New Roman"/>
                <w:sz w:val="20"/>
                <w:szCs w:val="20"/>
              </w:rPr>
              <w:t xml:space="preserve">55.0%</w:t>
            </w:r>
          </w:p>
        </w:tc>
        <w:tc>
          <w:tcPr/>
          <w:p>
            <w:pPr>
              <w:pStyle w:val="Normal"/>
              <w:jc w:val="left"/>
              <w:spacing w:line="240" w:lineRule="auto" w:after="0"/>
            </w:pPr>
            <w:r>
              <w:rPr>
                <w:rFonts w:ascii="Times New Roman" w:hAnsi="Times New Roman" w:cs="Times New Roman" w:eastAsia="Times New Roman"/>
                <w:sz w:val="20"/>
                <w:szCs w:val="20"/>
              </w:rPr>
              <w:t xml:space="preserve">45.8%</w:t>
            </w:r>
          </w:p>
        </w:tc>
      </w:tr>
      <w:tr>
        <w:tc>
          <w:tcPr/>
          <w:p>
            <w:pPr>
              <w:pStyle w:val="Normal"/>
              <w:jc w:val="left"/>
              <w:spacing w:line="240" w:lineRule="auto" w:after="0"/>
            </w:pPr>
            <w:r>
              <w:rPr>
                <w:rFonts w:ascii="Times New Roman" w:hAnsi="Times New Roman" w:cs="Times New Roman" w:eastAsia="Times New Roman"/>
                <w:sz w:val="20"/>
                <w:szCs w:val="20"/>
              </w:rPr>
              <w:t xml:space="preserve">0.3</w:t>
            </w:r>
          </w:p>
        </w:tc>
        <w:tc>
          <w:tcPr/>
          <w:p>
            <w:pPr>
              <w:pStyle w:val="Normal"/>
              <w:jc w:val="left"/>
              <w:spacing w:line="240" w:lineRule="auto" w:after="0"/>
            </w:pPr>
            <w:r>
              <w:rPr>
                <w:rFonts w:ascii="Times New Roman" w:hAnsi="Times New Roman" w:cs="Times New Roman" w:eastAsia="Times New Roman"/>
                <w:sz w:val="20"/>
                <w:szCs w:val="20"/>
              </w:rPr>
              <w:t xml:space="preserve">0.73 (0.28–2.09)</w:t>
            </w:r>
          </w:p>
        </w:tc>
        <w:tc>
          <w:tcPr/>
          <w:p>
            <w:pPr>
              <w:pStyle w:val="Normal"/>
              <w:jc w:val="left"/>
              <w:spacing w:line="240" w:lineRule="auto" w:after="0"/>
            </w:pPr>
            <w:r>
              <w:rPr>
                <w:rFonts w:ascii="Times New Roman" w:hAnsi="Times New Roman" w:cs="Times New Roman" w:eastAsia="Times New Roman"/>
                <w:sz w:val="20"/>
                <w:szCs w:val="20"/>
              </w:rPr>
              <w:t xml:space="preserve">77.0%</w:t>
            </w:r>
          </w:p>
        </w:tc>
        <w:tc>
          <w:tcPr/>
          <w:p>
            <w:pPr>
              <w:pStyle w:val="Normal"/>
              <w:jc w:val="left"/>
              <w:spacing w:line="240" w:lineRule="auto" w:after="0"/>
            </w:pPr>
            <w:r>
              <w:rPr>
                <w:rFonts w:ascii="Times New Roman" w:hAnsi="Times New Roman" w:cs="Times New Roman" w:eastAsia="Times New Roman"/>
                <w:sz w:val="20"/>
                <w:szCs w:val="20"/>
              </w:rPr>
              <w:t xml:space="preserve">66.3%</w:t>
            </w:r>
          </w:p>
        </w:tc>
        <w:tc>
          <w:tcPr/>
          <w:p>
            <w:pPr>
              <w:pStyle w:val="Normal"/>
              <w:jc w:val="left"/>
              <w:spacing w:line="240" w:lineRule="auto" w:after="0"/>
            </w:pPr>
            <w:r>
              <w:rPr>
                <w:rFonts w:ascii="Times New Roman" w:hAnsi="Times New Roman" w:cs="Times New Roman" w:eastAsia="Times New Roman"/>
                <w:sz w:val="20"/>
                <w:szCs w:val="20"/>
              </w:rPr>
              <w:t xml:space="preserve">56.9%</w:t>
            </w:r>
          </w:p>
        </w:tc>
      </w:tr>
      <w:tr>
        <w:tc>
          <w:tcPr/>
          <w:p>
            <w:pPr>
              <w:pStyle w:val="Normal"/>
              <w:jc w:val="left"/>
              <w:spacing w:line="240" w:lineRule="auto" w:after="0"/>
            </w:pPr>
            <w:r>
              <w:rPr>
                <w:rFonts w:ascii="Times New Roman" w:hAnsi="Times New Roman" w:cs="Times New Roman" w:eastAsia="Times New Roman"/>
                <w:sz w:val="20"/>
                <w:szCs w:val="20"/>
              </w:rPr>
              <w:t xml:space="preserve">0.5</w:t>
            </w:r>
          </w:p>
        </w:tc>
        <w:tc>
          <w:tcPr/>
          <w:p>
            <w:pPr>
              <w:pStyle w:val="Normal"/>
              <w:jc w:val="left"/>
              <w:spacing w:line="240" w:lineRule="auto" w:after="0"/>
            </w:pPr>
            <w:r>
              <w:rPr>
                <w:rFonts w:ascii="Times New Roman" w:hAnsi="Times New Roman" w:cs="Times New Roman" w:eastAsia="Times New Roman"/>
                <w:sz w:val="20"/>
                <w:szCs w:val="20"/>
              </w:rPr>
              <w:t xml:space="preserve">0.61 (0.28–1.30)</w:t>
            </w:r>
          </w:p>
        </w:tc>
        <w:tc>
          <w:tcPr/>
          <w:p>
            <w:pPr>
              <w:pStyle w:val="Normal"/>
              <w:jc w:val="left"/>
              <w:spacing w:line="240" w:lineRule="auto" w:after="0"/>
            </w:pPr>
            <w:r>
              <w:rPr>
                <w:rFonts w:ascii="Times New Roman" w:hAnsi="Times New Roman" w:cs="Times New Roman" w:eastAsia="Times New Roman"/>
                <w:sz w:val="20"/>
                <w:szCs w:val="20"/>
              </w:rPr>
              <w:t xml:space="preserve">92.6%</w:t>
            </w:r>
          </w:p>
        </w:tc>
        <w:tc>
          <w:tcPr/>
          <w:p>
            <w:pPr>
              <w:pStyle w:val="Normal"/>
              <w:jc w:val="left"/>
              <w:spacing w:line="240" w:lineRule="auto" w:after="0"/>
            </w:pPr>
            <w:r>
              <w:rPr>
                <w:rFonts w:ascii="Times New Roman" w:hAnsi="Times New Roman" w:cs="Times New Roman" w:eastAsia="Times New Roman"/>
                <w:sz w:val="20"/>
                <w:szCs w:val="20"/>
              </w:rPr>
              <w:t xml:space="preserve">87.3%</w:t>
            </w:r>
          </w:p>
        </w:tc>
        <w:tc>
          <w:tcPr/>
          <w:p>
            <w:pPr>
              <w:pStyle w:val="Normal"/>
              <w:jc w:val="left"/>
              <w:spacing w:line="240" w:lineRule="auto" w:after="0"/>
            </w:pPr>
            <w:r>
              <w:rPr>
                <w:rFonts w:ascii="Times New Roman" w:hAnsi="Times New Roman" w:cs="Times New Roman" w:eastAsia="Times New Roman"/>
                <w:sz w:val="20"/>
                <w:szCs w:val="20"/>
              </w:rPr>
              <w:t xml:space="preserve">77.1%</w:t>
            </w:r>
          </w:p>
        </w:tc>
      </w:tr>
      <w:tr>
        <w:tc>
          <w:tcPr/>
          <w:p>
            <w:pPr>
              <w:pStyle w:val="Normal"/>
              <w:jc w:val="left"/>
              <w:spacing w:line="240" w:lineRule="auto" w:after="0"/>
            </w:pPr>
            <w:r>
              <w:rPr>
                <w:rFonts w:ascii="Times New Roman" w:hAnsi="Times New Roman" w:cs="Times New Roman" w:eastAsia="Times New Roman"/>
                <w:sz w:val="20"/>
                <w:szCs w:val="20"/>
              </w:rPr>
              <w:t xml:space="preserve">0.7</w:t>
            </w:r>
          </w:p>
        </w:tc>
        <w:tc>
          <w:tcPr/>
          <w:p>
            <w:pPr>
              <w:pStyle w:val="Normal"/>
              <w:jc w:val="left"/>
              <w:spacing w:line="240" w:lineRule="auto" w:after="0"/>
            </w:pPr>
            <w:r>
              <w:rPr>
                <w:rFonts w:ascii="Times New Roman" w:hAnsi="Times New Roman" w:cs="Times New Roman" w:eastAsia="Times New Roman"/>
                <w:sz w:val="20"/>
                <w:szCs w:val="20"/>
              </w:rPr>
              <w:t xml:space="preserve">0.57 (0.29–1.05)</w:t>
            </w:r>
          </w:p>
        </w:tc>
        <w:tc>
          <w:tcPr/>
          <w:p>
            <w:pPr>
              <w:pStyle w:val="Normal"/>
              <w:jc w:val="left"/>
              <w:spacing w:line="240" w:lineRule="auto" w:after="0"/>
            </w:pPr>
            <w:r>
              <w:rPr>
                <w:rFonts w:ascii="Times New Roman" w:hAnsi="Times New Roman" w:cs="Times New Roman" w:eastAsia="Times New Roman"/>
                <w:sz w:val="20"/>
                <w:szCs w:val="20"/>
              </w:rPr>
              <w:t xml:space="preserve">96.6%</w:t>
            </w:r>
          </w:p>
        </w:tc>
        <w:tc>
          <w:tcPr/>
          <w:p>
            <w:pPr>
              <w:pStyle w:val="Normal"/>
              <w:jc w:val="left"/>
              <w:spacing w:line="240" w:lineRule="auto" w:after="0"/>
            </w:pPr>
            <w:r>
              <w:rPr>
                <w:rFonts w:ascii="Times New Roman" w:hAnsi="Times New Roman" w:cs="Times New Roman" w:eastAsia="Times New Roman"/>
                <w:sz w:val="20"/>
                <w:szCs w:val="20"/>
              </w:rPr>
              <w:t xml:space="preserve">94.1%</w:t>
            </w:r>
          </w:p>
        </w:tc>
        <w:tc>
          <w:tcPr/>
          <w:p>
            <w:pPr>
              <w:pStyle w:val="Normal"/>
              <w:jc w:val="left"/>
              <w:spacing w:line="240" w:lineRule="auto" w:after="0"/>
            </w:pPr>
            <w:r>
              <w:rPr>
                <w:rFonts w:ascii="Times New Roman" w:hAnsi="Times New Roman" w:cs="Times New Roman" w:eastAsia="Times New Roman"/>
                <w:sz w:val="20"/>
                <w:szCs w:val="20"/>
              </w:rPr>
              <w:t xml:space="preserve">87.4%</w:t>
            </w:r>
          </w:p>
        </w:tc>
      </w:tr>
      <w:tr>
        <w:tc>
          <w:tcPr/>
          <w:p>
            <w:pPr>
              <w:pStyle w:val="Normal"/>
              <w:jc w:val="left"/>
              <w:spacing w:line="240" w:lineRule="auto" w:after="0"/>
            </w:pPr>
            <w:r>
              <w:rPr>
                <w:rFonts w:ascii="Times New Roman" w:hAnsi="Times New Roman" w:cs="Times New Roman" w:eastAsia="Times New Roman"/>
                <w:sz w:val="20"/>
                <w:szCs w:val="20"/>
              </w:rPr>
              <w:t xml:space="preserve">1.0 (full weight)</w:t>
            </w:r>
          </w:p>
        </w:tc>
        <w:tc>
          <w:tcPr/>
          <w:p>
            <w:pPr>
              <w:pStyle w:val="Normal"/>
              <w:jc w:val="left"/>
              <w:spacing w:line="240" w:lineRule="auto" w:after="0"/>
            </w:pPr>
            <w:r>
              <w:rPr>
                <w:rFonts w:ascii="Times New Roman" w:hAnsi="Times New Roman" w:cs="Times New Roman" w:eastAsia="Times New Roman"/>
                <w:sz w:val="20"/>
                <w:szCs w:val="20"/>
              </w:rPr>
              <w:t xml:space="preserve">0.54 (0.32–0.91)</w:t>
            </w:r>
          </w:p>
        </w:tc>
        <w:tc>
          <w:tcPr/>
          <w:p>
            <w:pPr>
              <w:pStyle w:val="Normal"/>
              <w:jc w:val="left"/>
              <w:spacing w:line="240" w:lineRule="auto" w:after="0"/>
            </w:pPr>
            <w:r>
              <w:rPr>
                <w:rFonts w:ascii="Times New Roman" w:hAnsi="Times New Roman" w:cs="Times New Roman" w:eastAsia="Times New Roman"/>
                <w:sz w:val="20"/>
                <w:szCs w:val="20"/>
              </w:rPr>
              <w:t xml:space="preserve">98.7%</w:t>
            </w:r>
          </w:p>
        </w:tc>
        <w:tc>
          <w:tcPr/>
          <w:p>
            <w:pPr>
              <w:pStyle w:val="Normal"/>
              <w:jc w:val="left"/>
              <w:spacing w:line="240" w:lineRule="auto" w:after="0"/>
            </w:pPr>
            <w:r>
              <w:rPr>
                <w:rFonts w:ascii="Times New Roman" w:hAnsi="Times New Roman" w:cs="Times New Roman" w:eastAsia="Times New Roman"/>
                <w:sz w:val="20"/>
                <w:szCs w:val="20"/>
              </w:rPr>
              <w:t xml:space="preserve">97.2%</w:t>
            </w:r>
          </w:p>
        </w:tc>
        <w:tc>
          <w:tcPr/>
          <w:p>
            <w:pPr>
              <w:pStyle w:val="Normal"/>
              <w:jc w:val="left"/>
              <w:spacing w:line="240" w:lineRule="auto" w:after="0"/>
            </w:pPr>
            <w:r>
              <w:rPr>
                <w:rFonts w:ascii="Times New Roman" w:hAnsi="Times New Roman" w:cs="Times New Roman" w:eastAsia="Times New Roman"/>
                <w:sz w:val="20"/>
                <w:szCs w:val="20"/>
              </w:rPr>
              <w:t xml:space="preserve">93.5%</w:t>
            </w:r>
          </w:p>
        </w:tc>
      </w:tr>
    </w:tbl>
    <w:p>
      <w:r>
        <w:rPr>
          <w:rFonts w:ascii="Times New Roman" w:hAnsi="Times New Roman"/>
          <w:b/>
          <w:i w:val="0"/>
          <w:sz w:val="24"/>
        </w:rPr>
        <w:t>Table 6: Bayesian integration --- Statins in HF (power prior)</w:t>
      </w:r>
    </w:p>
    <w:tbl xmlns:a="http://schemas.openxmlformats.org/drawingml/2006/main" xmlns:pic="http://schemas.openxmlformats.org/drawingml/2006/picture">
      <w:tblPr>
        <w:tblStyle w:val="Table Grid"/>
        <w:tblW w:type="auto" w:w="0"/>
        <w:tblLook w:firstRow="1" w:lastRow="0" w:firstColumn="0" w:lastColumn="0" w:noHBand="0" w:noVBand="0" w:val="0020"/>
        <w:jc w:val="center"/>
      </w:tblPr>
      <w:tblGrid>
        <w:gridCol w:w="1584"/>
        <w:gridCol w:w="1584"/>
        <w:gridCol w:w="1584"/>
        <w:gridCol w:w="1584"/>
        <w:gridCol w:w="1584"/>
      </w:tblGrid>
      <w:tr>
        <w:trPr>
          <w:tblHeader w:val="true"/>
        </w:trPr>
        <w:tc>
          <w:tcPr/>
          <w:p>
            <w:pPr>
              <w:pStyle w:val="Normal"/>
              <w:jc w:val="left"/>
              <w:spacing w:line="240" w:lineRule="auto" w:after="0"/>
            </w:pPr>
            <m:oMath>
              <m:r>
                <m:t>α</m:t>
              </m:r>
            </m:oMath>
          </w:p>
        </w:tc>
        <w:tc>
          <w:tcPr/>
          <w:p>
            <w:pPr>
              <w:pStyle w:val="Normal"/>
              <w:jc w:val="left"/>
              <w:spacing w:line="240" w:lineRule="auto" w:after="0"/>
            </w:pPr>
            <w:r>
              <w:rPr>
                <w:rFonts w:ascii="Times New Roman" w:hAnsi="Times New Roman" w:cs="Times New Roman" w:eastAsia="Times New Roman"/>
                <w:sz w:val="20"/>
                <w:szCs w:val="20"/>
                <w:b/>
              </w:rPr>
              <w:t xml:space="preserve">HR (95% CrI)</w:t>
            </w:r>
          </w:p>
        </w:tc>
        <w:tc>
          <w:tcPr/>
          <w:p>
            <w:pPr>
              <w:pStyle w:val="Normal"/>
              <w:jc w:val="left"/>
              <w:spacing w:line="240" w:lineRule="auto" w:after="0"/>
            </w:pPr>
            <w:r>
              <w:rPr>
                <w:rFonts w:ascii="Times New Roman" w:hAnsi="Times New Roman" w:cs="Times New Roman" w:eastAsia="Times New Roman"/>
                <w:sz w:val="20"/>
                <w:szCs w:val="20"/>
                <w:b/>
              </w:rPr>
              <w:t xml:space="preserve">P(HR &lt; 1)</w:t>
            </w:r>
          </w:p>
        </w:tc>
        <w:tc>
          <w:tcPr/>
          <w:p>
            <w:pPr>
              <w:pStyle w:val="Normal"/>
              <w:jc w:val="left"/>
              <w:spacing w:line="240" w:lineRule="auto" w:after="0"/>
            </w:pPr>
            <w:r>
              <w:rPr>
                <w:rFonts w:ascii="Times New Roman" w:hAnsi="Times New Roman" w:cs="Times New Roman" w:eastAsia="Times New Roman"/>
                <w:sz w:val="20"/>
                <w:szCs w:val="20"/>
                <w:b/>
              </w:rPr>
              <w:t xml:space="preserve">P(HR &lt; 0.90)</w:t>
            </w:r>
          </w:p>
        </w:tc>
        <w:tc>
          <w:tcPr/>
          <w:p>
            <w:pPr>
              <w:pStyle w:val="Normal"/>
              <w:jc w:val="left"/>
              <w:spacing w:line="240" w:lineRule="auto" w:after="0"/>
            </w:pPr>
            <w:r>
              <w:rPr>
                <w:rFonts w:ascii="Times New Roman" w:hAnsi="Times New Roman" w:cs="Times New Roman" w:eastAsia="Times New Roman"/>
                <w:sz w:val="20"/>
                <w:szCs w:val="20"/>
                <w:b/>
              </w:rPr>
              <w:t xml:space="preserve">P(HR &lt; 0.80)</w:t>
            </w:r>
          </w:p>
        </w:tc>
      </w:tr>
      <w:tr>
        <w:tc>
          <w:tcPr/>
          <w:p>
            <w:pPr>
              <w:pStyle w:val="Normal"/>
              <w:jc w:val="left"/>
              <w:spacing w:line="240" w:lineRule="auto" w:after="0"/>
            </w:pPr>
            <w:r>
              <w:rPr>
                <w:rFonts w:ascii="Times New Roman" w:hAnsi="Times New Roman" w:cs="Times New Roman" w:eastAsia="Times New Roman"/>
                <w:sz w:val="20"/>
                <w:szCs w:val="20"/>
              </w:rPr>
              <w:t xml:space="preserve">0.0 (RCTs only)</w:t>
            </w:r>
          </w:p>
        </w:tc>
        <w:tc>
          <w:tcPr/>
          <w:p>
            <w:pPr>
              <w:pStyle w:val="Normal"/>
              <w:jc w:val="left"/>
              <w:spacing w:line="240" w:lineRule="auto" w:after="0"/>
            </w:pPr>
            <w:r>
              <w:rPr>
                <w:rFonts w:ascii="Times New Roman" w:hAnsi="Times New Roman" w:cs="Times New Roman" w:eastAsia="Times New Roman"/>
                <w:sz w:val="20"/>
                <w:szCs w:val="20"/>
              </w:rPr>
              <w:t xml:space="preserve">0.98 (0.63–2.35)</w:t>
            </w:r>
          </w:p>
        </w:tc>
        <w:tc>
          <w:tcPr/>
          <w:p>
            <w:pPr>
              <w:pStyle w:val="Normal"/>
              <w:jc w:val="left"/>
              <w:spacing w:line="240" w:lineRule="auto" w:after="0"/>
            </w:pPr>
            <w:r>
              <w:rPr>
                <w:rFonts w:ascii="Times New Roman" w:hAnsi="Times New Roman" w:cs="Times New Roman" w:eastAsia="Times New Roman"/>
                <w:sz w:val="20"/>
                <w:szCs w:val="20"/>
              </w:rPr>
              <w:t xml:space="preserve">60.9%</w:t>
            </w:r>
          </w:p>
        </w:tc>
        <w:tc>
          <w:tcPr/>
          <w:p>
            <w:pPr>
              <w:pStyle w:val="Normal"/>
              <w:jc w:val="left"/>
              <w:spacing w:line="240" w:lineRule="auto" w:after="0"/>
            </w:pPr>
            <w:r>
              <w:rPr>
                <w:rFonts w:ascii="Times New Roman" w:hAnsi="Times New Roman" w:cs="Times New Roman" w:eastAsia="Times New Roman"/>
                <w:sz w:val="20"/>
                <w:szCs w:val="20"/>
              </w:rPr>
              <w:t xml:space="preserve">17.7%</w:t>
            </w:r>
          </w:p>
        </w:tc>
        <w:tc>
          <w:tcPr/>
          <w:p>
            <w:pPr>
              <w:pStyle w:val="Normal"/>
              <w:jc w:val="left"/>
              <w:spacing w:line="240" w:lineRule="auto" w:after="0"/>
            </w:pPr>
            <w:r>
              <w:rPr>
                <w:rFonts w:ascii="Times New Roman" w:hAnsi="Times New Roman" w:cs="Times New Roman" w:eastAsia="Times New Roman"/>
                <w:sz w:val="20"/>
                <w:szCs w:val="20"/>
              </w:rPr>
              <w:t xml:space="preserve">9.1%</w:t>
            </w:r>
          </w:p>
        </w:tc>
      </w:tr>
      <w:tr>
        <w:tc>
          <w:tcPr/>
          <w:p>
            <w:pPr>
              <w:pStyle w:val="Normal"/>
              <w:jc w:val="left"/>
              <w:spacing w:line="240" w:lineRule="auto" w:after="0"/>
            </w:pPr>
            <w:r>
              <w:rPr>
                <w:rFonts w:ascii="Times New Roman" w:hAnsi="Times New Roman" w:cs="Times New Roman" w:eastAsia="Times New Roman"/>
                <w:sz w:val="20"/>
                <w:szCs w:val="20"/>
              </w:rPr>
              <w:t xml:space="preserve">0.1</w:t>
            </w:r>
          </w:p>
        </w:tc>
        <w:tc>
          <w:tcPr/>
          <w:p>
            <w:pPr>
              <w:pStyle w:val="Normal"/>
              <w:jc w:val="left"/>
              <w:spacing w:line="240" w:lineRule="auto" w:after="0"/>
            </w:pPr>
            <w:r>
              <w:rPr>
                <w:rFonts w:ascii="Times New Roman" w:hAnsi="Times New Roman" w:cs="Times New Roman" w:eastAsia="Times New Roman"/>
                <w:sz w:val="20"/>
                <w:szCs w:val="20"/>
              </w:rPr>
              <w:t xml:space="preserve">0.92 (0.63–2.19)</w:t>
            </w:r>
          </w:p>
        </w:tc>
        <w:tc>
          <w:tcPr/>
          <w:p>
            <w:pPr>
              <w:pStyle w:val="Normal"/>
              <w:jc w:val="left"/>
              <w:spacing w:line="240" w:lineRule="auto" w:after="0"/>
            </w:pPr>
            <w:r>
              <w:rPr>
                <w:rFonts w:ascii="Times New Roman" w:hAnsi="Times New Roman" w:cs="Times New Roman" w:eastAsia="Times New Roman"/>
                <w:sz w:val="20"/>
                <w:szCs w:val="20"/>
              </w:rPr>
              <w:t xml:space="preserve">70.4%</w:t>
            </w:r>
          </w:p>
        </w:tc>
        <w:tc>
          <w:tcPr/>
          <w:p>
            <w:pPr>
              <w:pStyle w:val="Normal"/>
              <w:jc w:val="left"/>
              <w:spacing w:line="240" w:lineRule="auto" w:after="0"/>
            </w:pPr>
            <w:r>
              <w:rPr>
                <w:rFonts w:ascii="Times New Roman" w:hAnsi="Times New Roman" w:cs="Times New Roman" w:eastAsia="Times New Roman"/>
                <w:sz w:val="20"/>
                <w:szCs w:val="20"/>
              </w:rPr>
              <w:t xml:space="preserve">43.5%</w:t>
            </w:r>
          </w:p>
        </w:tc>
        <w:tc>
          <w:tcPr/>
          <w:p>
            <w:pPr>
              <w:pStyle w:val="Normal"/>
              <w:jc w:val="left"/>
              <w:spacing w:line="240" w:lineRule="auto" w:after="0"/>
            </w:pPr>
            <w:r>
              <w:rPr>
                <w:rFonts w:ascii="Times New Roman" w:hAnsi="Times New Roman" w:cs="Times New Roman" w:eastAsia="Times New Roman"/>
                <w:sz w:val="20"/>
                <w:szCs w:val="20"/>
              </w:rPr>
              <w:t xml:space="preserve">17.7%</w:t>
            </w:r>
          </w:p>
        </w:tc>
      </w:tr>
      <w:tr>
        <w:tc>
          <w:tcPr/>
          <w:p>
            <w:pPr>
              <w:pStyle w:val="Normal"/>
              <w:jc w:val="left"/>
              <w:spacing w:line="240" w:lineRule="auto" w:after="0"/>
            </w:pPr>
            <w:r>
              <w:rPr>
                <w:rFonts w:ascii="Times New Roman" w:hAnsi="Times New Roman" w:cs="Times New Roman" w:eastAsia="Times New Roman"/>
                <w:sz w:val="20"/>
                <w:szCs w:val="20"/>
              </w:rPr>
              <w:t xml:space="preserve">0.2</w:t>
            </w:r>
          </w:p>
        </w:tc>
        <w:tc>
          <w:tcPr/>
          <w:p>
            <w:pPr>
              <w:pStyle w:val="Normal"/>
              <w:jc w:val="left"/>
              <w:spacing w:line="240" w:lineRule="auto" w:after="0"/>
            </w:pPr>
            <w:r>
              <w:rPr>
                <w:rFonts w:ascii="Times New Roman" w:hAnsi="Times New Roman" w:cs="Times New Roman" w:eastAsia="Times New Roman"/>
                <w:sz w:val="20"/>
                <w:szCs w:val="20"/>
              </w:rPr>
              <w:t xml:space="preserve">0.88 (0.60–1.80)</w:t>
            </w:r>
          </w:p>
        </w:tc>
        <w:tc>
          <w:tcPr/>
          <w:p>
            <w:pPr>
              <w:pStyle w:val="Normal"/>
              <w:jc w:val="left"/>
              <w:spacing w:line="240" w:lineRule="auto" w:after="0"/>
            </w:pPr>
            <w:r>
              <w:rPr>
                <w:rFonts w:ascii="Times New Roman" w:hAnsi="Times New Roman" w:cs="Times New Roman" w:eastAsia="Times New Roman"/>
                <w:sz w:val="20"/>
                <w:szCs w:val="20"/>
              </w:rPr>
              <w:t xml:space="preserve">78.4%</w:t>
            </w:r>
          </w:p>
        </w:tc>
        <w:tc>
          <w:tcPr/>
          <w:p>
            <w:pPr>
              <w:pStyle w:val="Normal"/>
              <w:jc w:val="left"/>
              <w:spacing w:line="240" w:lineRule="auto" w:after="0"/>
            </w:pPr>
            <w:r>
              <w:rPr>
                <w:rFonts w:ascii="Times New Roman" w:hAnsi="Times New Roman" w:cs="Times New Roman" w:eastAsia="Times New Roman"/>
                <w:sz w:val="20"/>
                <w:szCs w:val="20"/>
              </w:rPr>
              <w:t xml:space="preserve">57.0%</w:t>
            </w:r>
          </w:p>
        </w:tc>
        <w:tc>
          <w:tcPr/>
          <w:p>
            <w:pPr>
              <w:pStyle w:val="Normal"/>
              <w:jc w:val="left"/>
              <w:spacing w:line="240" w:lineRule="auto" w:after="0"/>
            </w:pPr>
            <w:r>
              <w:rPr>
                <w:rFonts w:ascii="Times New Roman" w:hAnsi="Times New Roman" w:cs="Times New Roman" w:eastAsia="Times New Roman"/>
                <w:sz w:val="20"/>
                <w:szCs w:val="20"/>
              </w:rPr>
              <w:t xml:space="preserve">26.0%</w:t>
            </w:r>
          </w:p>
        </w:tc>
      </w:tr>
      <w:tr>
        <w:tc>
          <w:tcPr/>
          <w:p>
            <w:pPr>
              <w:pStyle w:val="Normal"/>
              <w:jc w:val="left"/>
              <w:spacing w:line="240" w:lineRule="auto" w:after="0"/>
            </w:pPr>
            <w:r>
              <w:rPr>
                <w:rFonts w:ascii="Times New Roman" w:hAnsi="Times New Roman" w:cs="Times New Roman" w:eastAsia="Times New Roman"/>
                <w:sz w:val="20"/>
                <w:szCs w:val="20"/>
              </w:rPr>
              <w:t xml:space="preserve">0.3</w:t>
            </w:r>
          </w:p>
        </w:tc>
        <w:tc>
          <w:tcPr/>
          <w:p>
            <w:pPr>
              <w:pStyle w:val="Normal"/>
              <w:jc w:val="left"/>
              <w:spacing w:line="240" w:lineRule="auto" w:after="0"/>
            </w:pPr>
            <w:r>
              <w:rPr>
                <w:rFonts w:ascii="Times New Roman" w:hAnsi="Times New Roman" w:cs="Times New Roman" w:eastAsia="Times New Roman"/>
                <w:sz w:val="20"/>
                <w:szCs w:val="20"/>
              </w:rPr>
              <w:t xml:space="preserve">0.85 (0.59–1.57)</w:t>
            </w:r>
          </w:p>
        </w:tc>
        <w:tc>
          <w:tcPr/>
          <w:p>
            <w:pPr>
              <w:pStyle w:val="Normal"/>
              <w:jc w:val="left"/>
              <w:spacing w:line="240" w:lineRule="auto" w:after="0"/>
            </w:pPr>
            <w:r>
              <w:rPr>
                <w:rFonts w:ascii="Times New Roman" w:hAnsi="Times New Roman" w:cs="Times New Roman" w:eastAsia="Times New Roman"/>
                <w:sz w:val="20"/>
                <w:szCs w:val="20"/>
              </w:rPr>
              <w:t xml:space="preserve">83.7%</w:t>
            </w:r>
          </w:p>
        </w:tc>
        <w:tc>
          <w:tcPr/>
          <w:p>
            <w:pPr>
              <w:pStyle w:val="Normal"/>
              <w:jc w:val="left"/>
              <w:spacing w:line="240" w:lineRule="auto" w:after="0"/>
            </w:pPr>
            <w:r>
              <w:rPr>
                <w:rFonts w:ascii="Times New Roman" w:hAnsi="Times New Roman" w:cs="Times New Roman" w:eastAsia="Times New Roman"/>
                <w:sz w:val="20"/>
                <w:szCs w:val="20"/>
              </w:rPr>
              <w:t xml:space="preserve">65.7%</w:t>
            </w:r>
          </w:p>
        </w:tc>
        <w:tc>
          <w:tcPr/>
          <w:p>
            <w:pPr>
              <w:pStyle w:val="Normal"/>
              <w:jc w:val="left"/>
              <w:spacing w:line="240" w:lineRule="auto" w:after="0"/>
            </w:pPr>
            <w:r>
              <w:rPr>
                <w:rFonts w:ascii="Times New Roman" w:hAnsi="Times New Roman" w:cs="Times New Roman" w:eastAsia="Times New Roman"/>
                <w:sz w:val="20"/>
                <w:szCs w:val="20"/>
              </w:rPr>
              <w:t xml:space="preserve">32.8%</w:t>
            </w:r>
          </w:p>
        </w:tc>
      </w:tr>
      <w:tr>
        <w:tc>
          <w:tcPr/>
          <w:p>
            <w:pPr>
              <w:pStyle w:val="Normal"/>
              <w:jc w:val="left"/>
              <w:spacing w:line="240" w:lineRule="auto" w:after="0"/>
            </w:pPr>
            <w:r>
              <w:rPr>
                <w:rFonts w:ascii="Times New Roman" w:hAnsi="Times New Roman" w:cs="Times New Roman" w:eastAsia="Times New Roman"/>
                <w:sz w:val="20"/>
                <w:szCs w:val="20"/>
              </w:rPr>
              <w:t xml:space="preserve">0.5</w:t>
            </w:r>
          </w:p>
        </w:tc>
        <w:tc>
          <w:tcPr/>
          <w:p>
            <w:pPr>
              <w:pStyle w:val="Normal"/>
              <w:jc w:val="left"/>
              <w:spacing w:line="240" w:lineRule="auto" w:after="0"/>
            </w:pPr>
            <w:r>
              <w:rPr>
                <w:rFonts w:ascii="Times New Roman" w:hAnsi="Times New Roman" w:cs="Times New Roman" w:eastAsia="Times New Roman"/>
                <w:sz w:val="20"/>
                <w:szCs w:val="20"/>
              </w:rPr>
              <w:t xml:space="preserve">0.82 (0.62–1.15)</w:t>
            </w:r>
          </w:p>
        </w:tc>
        <w:tc>
          <w:tcPr/>
          <w:p>
            <w:pPr>
              <w:pStyle w:val="Normal"/>
              <w:jc w:val="left"/>
              <w:spacing w:line="240" w:lineRule="auto" w:after="0"/>
            </w:pPr>
            <w:r>
              <w:rPr>
                <w:rFonts w:ascii="Times New Roman" w:hAnsi="Times New Roman" w:cs="Times New Roman" w:eastAsia="Times New Roman"/>
                <w:sz w:val="20"/>
                <w:szCs w:val="20"/>
              </w:rPr>
              <w:t xml:space="preserve">91.9%</w:t>
            </w:r>
          </w:p>
        </w:tc>
        <w:tc>
          <w:tcPr/>
          <w:p>
            <w:pPr>
              <w:pStyle w:val="Normal"/>
              <w:jc w:val="left"/>
              <w:spacing w:line="240" w:lineRule="auto" w:after="0"/>
            </w:pPr>
            <w:r>
              <w:rPr>
                <w:rFonts w:ascii="Times New Roman" w:hAnsi="Times New Roman" w:cs="Times New Roman" w:eastAsia="Times New Roman"/>
                <w:sz w:val="20"/>
                <w:szCs w:val="20"/>
              </w:rPr>
              <w:t xml:space="preserve">79.2%</w:t>
            </w:r>
          </w:p>
        </w:tc>
        <w:tc>
          <w:tcPr/>
          <w:p>
            <w:pPr>
              <w:pStyle w:val="Normal"/>
              <w:jc w:val="left"/>
              <w:spacing w:line="240" w:lineRule="auto" w:after="0"/>
            </w:pPr>
            <w:r>
              <w:rPr>
                <w:rFonts w:ascii="Times New Roman" w:hAnsi="Times New Roman" w:cs="Times New Roman" w:eastAsia="Times New Roman"/>
                <w:sz w:val="20"/>
                <w:szCs w:val="20"/>
              </w:rPr>
              <w:t xml:space="preserve">42.5%</w:t>
            </w:r>
          </w:p>
        </w:tc>
      </w:tr>
      <w:tr>
        <w:tc>
          <w:tcPr/>
          <w:p>
            <w:pPr>
              <w:pStyle w:val="Normal"/>
              <w:jc w:val="left"/>
              <w:spacing w:line="240" w:lineRule="auto" w:after="0"/>
            </w:pPr>
            <w:r>
              <w:rPr>
                <w:rFonts w:ascii="Times New Roman" w:hAnsi="Times New Roman" w:cs="Times New Roman" w:eastAsia="Times New Roman"/>
                <w:sz w:val="20"/>
                <w:szCs w:val="20"/>
              </w:rPr>
              <w:t xml:space="preserve">0.7</w:t>
            </w:r>
          </w:p>
        </w:tc>
        <w:tc>
          <w:tcPr/>
          <w:p>
            <w:pPr>
              <w:pStyle w:val="Normal"/>
              <w:jc w:val="left"/>
              <w:spacing w:line="240" w:lineRule="auto" w:after="0"/>
            </w:pPr>
            <w:r>
              <w:rPr>
                <w:rFonts w:ascii="Times New Roman" w:hAnsi="Times New Roman" w:cs="Times New Roman" w:eastAsia="Times New Roman"/>
                <w:sz w:val="20"/>
                <w:szCs w:val="20"/>
              </w:rPr>
              <w:t xml:space="preserve">0.79 (0.63–1.02)</w:t>
            </w:r>
          </w:p>
        </w:tc>
        <w:tc>
          <w:tcPr/>
          <w:p>
            <w:pPr>
              <w:pStyle w:val="Normal"/>
              <w:jc w:val="left"/>
              <w:spacing w:line="240" w:lineRule="auto" w:after="0"/>
            </w:pPr>
            <w:r>
              <w:rPr>
                <w:rFonts w:ascii="Times New Roman" w:hAnsi="Times New Roman" w:cs="Times New Roman" w:eastAsia="Times New Roman"/>
                <w:sz w:val="20"/>
                <w:szCs w:val="20"/>
              </w:rPr>
              <w:t xml:space="preserve">96.8%</w:t>
            </w:r>
          </w:p>
        </w:tc>
        <w:tc>
          <w:tcPr/>
          <w:p>
            <w:pPr>
              <w:pStyle w:val="Normal"/>
              <w:jc w:val="left"/>
              <w:spacing w:line="240" w:lineRule="auto" w:after="0"/>
            </w:pPr>
            <w:r>
              <w:rPr>
                <w:rFonts w:ascii="Times New Roman" w:hAnsi="Times New Roman" w:cs="Times New Roman" w:eastAsia="Times New Roman"/>
                <w:sz w:val="20"/>
                <w:szCs w:val="20"/>
              </w:rPr>
              <w:t xml:space="preserve">88.7%</w:t>
            </w:r>
          </w:p>
        </w:tc>
        <w:tc>
          <w:tcPr/>
          <w:p>
            <w:pPr>
              <w:pStyle w:val="Normal"/>
              <w:jc w:val="left"/>
              <w:spacing w:line="240" w:lineRule="auto" w:after="0"/>
            </w:pPr>
            <w:r>
              <w:rPr>
                <w:rFonts w:ascii="Times New Roman" w:hAnsi="Times New Roman" w:cs="Times New Roman" w:eastAsia="Times New Roman"/>
                <w:sz w:val="20"/>
                <w:szCs w:val="20"/>
              </w:rPr>
              <w:t xml:space="preserve">53.4%</w:t>
            </w:r>
          </w:p>
        </w:tc>
      </w:tr>
      <w:tr>
        <w:tc>
          <w:tcPr/>
          <w:p>
            <w:pPr>
              <w:pStyle w:val="Normal"/>
              <w:jc w:val="left"/>
              <w:spacing w:line="240" w:lineRule="auto" w:after="0"/>
            </w:pPr>
            <w:r>
              <w:rPr>
                <w:rFonts w:ascii="Times New Roman" w:hAnsi="Times New Roman" w:cs="Times New Roman" w:eastAsia="Times New Roman"/>
                <w:sz w:val="20"/>
                <w:szCs w:val="20"/>
              </w:rPr>
              <w:t xml:space="preserve">1.0 (full weight)</w:t>
            </w:r>
          </w:p>
        </w:tc>
        <w:tc>
          <w:tcPr/>
          <w:p>
            <w:pPr>
              <w:pStyle w:val="Normal"/>
              <w:jc w:val="left"/>
              <w:spacing w:line="240" w:lineRule="auto" w:after="0"/>
            </w:pPr>
            <w:r>
              <w:rPr>
                <w:rFonts w:ascii="Times New Roman" w:hAnsi="Times New Roman" w:cs="Times New Roman" w:eastAsia="Times New Roman"/>
                <w:sz w:val="20"/>
                <w:szCs w:val="20"/>
              </w:rPr>
              <w:t xml:space="preserve">0.78 (0.65–0.95)</w:t>
            </w:r>
          </w:p>
        </w:tc>
        <w:tc>
          <w:tcPr/>
          <w:p>
            <w:pPr>
              <w:pStyle w:val="Normal"/>
              <w:jc w:val="left"/>
              <w:spacing w:line="240" w:lineRule="auto" w:after="0"/>
            </w:pPr>
            <w:r>
              <w:rPr>
                <w:rFonts w:ascii="Times New Roman" w:hAnsi="Times New Roman" w:cs="Times New Roman" w:eastAsia="Times New Roman"/>
                <w:sz w:val="20"/>
                <w:szCs w:val="20"/>
              </w:rPr>
              <w:t xml:space="preserve">99.1%</w:t>
            </w:r>
          </w:p>
        </w:tc>
        <w:tc>
          <w:tcPr/>
          <w:p>
            <w:pPr>
              <w:pStyle w:val="Normal"/>
              <w:jc w:val="left"/>
              <w:spacing w:line="240" w:lineRule="auto" w:after="0"/>
            </w:pPr>
            <w:r>
              <w:rPr>
                <w:rFonts w:ascii="Times New Roman" w:hAnsi="Times New Roman" w:cs="Times New Roman" w:eastAsia="Times New Roman"/>
                <w:sz w:val="20"/>
                <w:szCs w:val="20"/>
              </w:rPr>
              <w:t xml:space="preserve">94.8%</w:t>
            </w:r>
          </w:p>
        </w:tc>
        <w:tc>
          <w:tcPr/>
          <w:p>
            <w:pPr>
              <w:pStyle w:val="Normal"/>
              <w:jc w:val="left"/>
              <w:spacing w:line="240" w:lineRule="auto" w:after="0"/>
            </w:pPr>
            <w:r>
              <w:rPr>
                <w:rFonts w:ascii="Times New Roman" w:hAnsi="Times New Roman" w:cs="Times New Roman" w:eastAsia="Times New Roman"/>
                <w:sz w:val="20"/>
                <w:szCs w:val="20"/>
              </w:rPr>
              <w:t xml:space="preserve">64.1%</w:t>
            </w:r>
          </w:p>
        </w:tc>
      </w:tr>
    </w:tbl>
    <w:p>
      <w:pPr>
        <w:jc w:val="center"/>
      </w:pPr>
      <w:r>
        <w:drawing>
          <wp:inline xmlns:a="http://schemas.openxmlformats.org/drawingml/2006/main" xmlns:pic="http://schemas.openxmlformats.org/drawingml/2006/picture">
            <wp:extent cx="5029200" cy="2063370"/>
            <wp:docPr id="7" name="Picture 7"/>
            <wp:cNvGraphicFramePr>
              <a:graphicFrameLocks noChangeAspect="1"/>
            </wp:cNvGraphicFramePr>
            <a:graphic>
              <a:graphicData uri="http://schemas.openxmlformats.org/drawingml/2006/picture">
                <pic:pic>
                  <pic:nvPicPr>
                    <pic:cNvPr id="0" name="fig7_sensitivity_analysis.png"/>
                    <pic:cNvPicPr/>
                  </pic:nvPicPr>
                  <pic:blipFill>
                    <a:blip r:embed="rId15"/>
                    <a:stretch>
                      <a:fillRect/>
                    </a:stretch>
                  </pic:blipFill>
                  <pic:spPr>
                    <a:xfrm>
                      <a:off x="0" y="0"/>
                      <a:ext cx="5029200" cy="2063370"/>
                    </a:xfrm>
                    <a:prstGeom prst="rect"/>
                  </pic:spPr>
                </pic:pic>
              </a:graphicData>
            </a:graphic>
          </wp:inline>
        </w:drawing>
      </w:r>
    </w:p>
    <w:p>
      <w:pPr>
        <w:jc w:val="left"/>
      </w:pPr>
      <w:r>
        <w:rPr>
          <w:rFonts w:ascii="Times New Roman" w:hAnsi="Times New Roman"/>
          <w:b/>
          <w:sz w:val="20"/>
        </w:rPr>
        <w:t xml:space="preserve">Figure 7. </w:t>
      </w:r>
      <w:r>
        <w:rPr>
          <w:rFonts w:ascii="Times New Roman" w:hAnsi="Times New Roman"/>
          <w:sz w:val="20"/>
        </w:rPr>
        <w:t>Sensitivity analysis of Bayesian integration to the discounting parameter α. (A) Magnesium in AMI. (B) Statins in HF. Three posterior probability thresholds are shown: P(effect &lt; 1.0), P(effect &lt; 0.90), and P(effect &lt; 0.80). Horizontal dashed line indicates 95% probability.</w:t>
      </w:r>
    </w:p>
    <w:p>
      <w:pPr>
        <w:pStyle w:val="Heading3"/>
      </w:pPr>
      <w:r>
        <w:rPr>
          <w:rFonts w:ascii="Times New Roman" w:hAnsi="Times New Roman"/>
          <w:b/>
          <w:color w:val="000000"/>
          <w:sz w:val="24"/>
        </w:rPr>
        <w:t>Module H assessment</w:t>
      </w:r>
    </w:p>
    <w:p xmlns:a="http://schemas.openxmlformats.org/drawingml/2006/main" xmlns:pic="http://schemas.openxmlformats.org/drawingml/2006/picture">
      <w:pPr>
        <w:pStyle w:val="Normal"/>
        <w:spacing w:line="480" w:lineRule="auto" w:after="120"/>
      </w:pPr>
      <w:r>
        <w:rPr>
          <w:rFonts w:ascii="Times New Roman" w:hAnsi="Times New Roman" w:cs="Times New Roman" w:eastAsia="Times New Roman"/>
          <w:sz w:val="24"/>
          <w:szCs w:val="24"/>
        </w:rPr>
        <w:t xml:space="preserve">Module H results are summarized in Table 7 and Fig. 8. For magnesium, the OIS for the pre-ISIS-4 effect was 85 events and the observed total was 4,617 (information fraction 5426%). Although the OIS was exceeded, the pooled estimate was dominated by high between-study heterogeneity; the appropriate KOTHA classification is</w:t>
      </w:r>
      <w:r>
        <w:rPr>
          <w:rFonts w:ascii="Times New Roman" w:hAnsi="Times New Roman" w:cs="Times New Roman" w:eastAsia="Times New Roman"/>
          <w:sz w:val="24"/>
          <w:szCs w:val="24"/>
        </w:rPr>
        <w:t xml:space="preserve"> </w:t>
      </w:r>
      <w:r>
        <w:rPr>
          <w:bCs/>
          <w:b/>
          <w:rFonts w:ascii="Times New Roman" w:hAnsi="Times New Roman" w:cs="Times New Roman" w:eastAsia="Times New Roman"/>
          <w:sz w:val="24"/>
          <w:szCs w:val="24"/>
        </w:rPr>
        <w:t xml:space="preserve">inconclusive with serious imprecision</w:t>
      </w:r>
      <w:r>
        <w:rPr>
          <w:rFonts w:ascii="Times New Roman" w:hAnsi="Times New Roman" w:cs="Times New Roman" w:eastAsia="Times New Roman"/>
          <w:sz w:val="24"/>
          <w:szCs w:val="24"/>
        </w:rPr>
        <w:t xml:space="preserve">. For statins, the OIS for the observational effect was 279 events and the RCTs contributed 1,385 events (information fraction 496%). The cumulative</w:t>
      </w:r>
      <w:r>
        <w:rPr>
          <w:rFonts w:ascii="Times New Roman" w:hAnsi="Times New Roman" w:cs="Times New Roman" w:eastAsia="Times New Roman"/>
          <w:sz w:val="24"/>
          <w:szCs w:val="24"/>
        </w:rPr>
        <w:t xml:space="preserve"> </w:t>
      </w:r>
      <m:oMath>
        <m:r>
          <m:t>Z</m:t>
        </m:r>
      </m:oMath>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was -0.74, the efficacy boundary was not crossed, and the event rate ratio was 0.53; the appropriate classification is</w:t>
      </w:r>
      <w:r>
        <w:rPr>
          <w:rFonts w:ascii="Times New Roman" w:hAnsi="Times New Roman" w:cs="Times New Roman" w:eastAsia="Times New Roman"/>
          <w:sz w:val="24"/>
          <w:szCs w:val="24"/>
        </w:rPr>
        <w:t xml:space="preserve"> </w:t>
      </w:r>
      <w:r>
        <w:rPr>
          <w:bCs/>
          <w:b/>
          <w:rFonts w:ascii="Times New Roman" w:hAnsi="Times New Roman" w:cs="Times New Roman" w:eastAsia="Times New Roman"/>
          <w:sz w:val="24"/>
          <w:szCs w:val="24"/>
        </w:rPr>
        <w:t xml:space="preserve">inconclusive with serious indirectness</w:t>
      </w:r>
      <w:r>
        <w:rPr>
          <w:rFonts w:ascii="Times New Roman" w:hAnsi="Times New Roman" w:cs="Times New Roman" w:eastAsia="Times New Roman"/>
          <w:sz w:val="24"/>
          <w:szCs w:val="24"/>
        </w:rPr>
        <w:t xml:space="preserve">. In both cases, standard GRADE would be more likely to conclude</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w:t>
      </w:r>
      <w:r>
        <w:rPr>
          <w:rFonts w:ascii="Times New Roman" w:hAnsi="Times New Roman" w:cs="Times New Roman" w:eastAsia="Times New Roman"/>
          <w:sz w:val="24"/>
          <w:szCs w:val="24"/>
        </w:rPr>
        <w:t xml:space="preserve">no benefit demonstrated,</w:t>
      </w:r>
      <w:r>
        <w:rPr>
          <w:rFonts w:ascii="Times New Roman" w:hAnsi="Times New Roman" w:cs="Times New Roman" w:eastAsia="Times New Roman"/>
          <w:sz w:val="24"/>
          <w:szCs w:val="24"/>
        </w:rPr>
        <w:t xml:space="preserve">”</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whereas KOTHA explicitly labels the evidence as informationally insufficient.</w:t>
      </w:r>
    </w:p>
    <w:p>
      <w:r>
        <w:rPr>
          <w:rFonts w:ascii="Times New Roman" w:hAnsi="Times New Roman"/>
          <w:b/>
          <w:i w:val="0"/>
          <w:sz w:val="24"/>
        </w:rPr>
        <w:t>Table 7: Module H assessment --- Standard GRADE vs. KOTHA-enhanced</w:t>
      </w:r>
    </w:p>
    <w:tbl xmlns:a="http://schemas.openxmlformats.org/drawingml/2006/main" xmlns:pic="http://schemas.openxmlformats.org/drawingml/2006/picture">
      <w:tblPr>
        <w:tblStyle w:val="Table Grid"/>
        <w:tblW w:type="pct" w:w="5000"/>
        <w:tblLook w:firstRow="1" w:lastRow="0" w:firstColumn="0" w:lastColumn="0" w:noHBand="0" w:noVBand="0" w:val="0020"/>
        <w:jc w:val="center"/>
        <w:tblLayout w:type="fixed"/>
      </w:tblPr>
      <w:tblGrid>
        <w:gridCol w:w="1584"/>
        <w:gridCol w:w="1584"/>
        <w:gridCol w:w="1584"/>
        <w:gridCol w:w="1584"/>
        <w:gridCol w:w="1584"/>
      </w:tblGrid>
      <w:tr>
        <w:trPr>
          <w:tblHeader w:val="true"/>
        </w:trPr>
        <w:tc>
          <w:tcPr/>
          <w:p>
            <w:pPr>
              <w:pStyle w:val="Normal"/>
              <w:jc w:val="left"/>
              <w:spacing w:line="240" w:lineRule="auto" w:after="0"/>
            </w:pPr>
            <w:r>
              <w:rPr>
                <w:rFonts w:ascii="Times New Roman" w:hAnsi="Times New Roman" w:cs="Times New Roman" w:eastAsia="Times New Roman"/>
                <w:sz w:val="20"/>
                <w:szCs w:val="20"/>
                <w:b/>
              </w:rPr>
              <w:t xml:space="preserve">GRADE domain</w:t>
            </w:r>
          </w:p>
        </w:tc>
        <w:tc>
          <w:tcPr/>
          <w:p>
            <w:pPr>
              <w:pStyle w:val="Normal"/>
              <w:jc w:val="left"/>
              <w:spacing w:line="240" w:lineRule="auto" w:after="0"/>
            </w:pPr>
            <w:r>
              <w:rPr>
                <w:rFonts w:ascii="Times New Roman" w:hAnsi="Times New Roman" w:cs="Times New Roman" w:eastAsia="Times New Roman"/>
                <w:sz w:val="20"/>
                <w:szCs w:val="20"/>
                <w:b/>
              </w:rPr>
              <w:t xml:space="preserve">Standard (Mg in AMI)</w:t>
            </w:r>
          </w:p>
        </w:tc>
        <w:tc>
          <w:tcPr/>
          <w:p>
            <w:pPr>
              <w:pStyle w:val="Normal"/>
              <w:jc w:val="left"/>
              <w:spacing w:line="240" w:lineRule="auto" w:after="0"/>
            </w:pPr>
            <w:r>
              <w:rPr>
                <w:rFonts w:ascii="Times New Roman" w:hAnsi="Times New Roman" w:cs="Times New Roman" w:eastAsia="Times New Roman"/>
                <w:sz w:val="20"/>
                <w:szCs w:val="20"/>
                <w:b/>
              </w:rPr>
              <w:t xml:space="preserve">KOTHA (Mg in AMI)</w:t>
            </w:r>
          </w:p>
        </w:tc>
        <w:tc>
          <w:tcPr/>
          <w:p>
            <w:pPr>
              <w:pStyle w:val="Normal"/>
              <w:jc w:val="left"/>
              <w:spacing w:line="240" w:lineRule="auto" w:after="0"/>
            </w:pPr>
            <w:r>
              <w:rPr>
                <w:rFonts w:ascii="Times New Roman" w:hAnsi="Times New Roman" w:cs="Times New Roman" w:eastAsia="Times New Roman"/>
                <w:sz w:val="20"/>
                <w:szCs w:val="20"/>
                <w:b/>
              </w:rPr>
              <w:t xml:space="preserve">Standard (Statins HF)</w:t>
            </w:r>
          </w:p>
        </w:tc>
        <w:tc>
          <w:tcPr/>
          <w:p>
            <w:pPr>
              <w:pStyle w:val="Normal"/>
              <w:jc w:val="left"/>
              <w:spacing w:line="240" w:lineRule="auto" w:after="0"/>
            </w:pPr>
            <w:r>
              <w:rPr>
                <w:rFonts w:ascii="Times New Roman" w:hAnsi="Times New Roman" w:cs="Times New Roman" w:eastAsia="Times New Roman"/>
                <w:sz w:val="20"/>
                <w:szCs w:val="20"/>
                <w:b/>
              </w:rPr>
              <w:t xml:space="preserve">KOTHA (Statins HF)</w:t>
            </w:r>
          </w:p>
        </w:tc>
      </w:tr>
      <w:tr>
        <w:tc>
          <w:tcPr/>
          <w:p>
            <w:pPr>
              <w:pStyle w:val="Normal"/>
              <w:jc w:val="left"/>
              <w:spacing w:line="240" w:lineRule="auto" w:after="0"/>
            </w:pPr>
            <w:r>
              <w:rPr>
                <w:rFonts w:ascii="Times New Roman" w:hAnsi="Times New Roman" w:cs="Times New Roman" w:eastAsia="Times New Roman"/>
                <w:sz w:val="20"/>
                <w:szCs w:val="20"/>
              </w:rPr>
              <w:t xml:space="preserve">Risk of bias</w:t>
            </w:r>
          </w:p>
        </w:tc>
        <w:tc>
          <w:tcPr/>
          <w:p>
            <w:pPr>
              <w:pStyle w:val="Normal"/>
              <w:jc w:val="left"/>
              <w:spacing w:line="240" w:lineRule="auto" w:after="0"/>
            </w:pPr>
            <w:r>
              <w:rPr>
                <w:rFonts w:ascii="Times New Roman" w:hAnsi="Times New Roman" w:cs="Times New Roman" w:eastAsia="Times New Roman"/>
                <w:sz w:val="20"/>
                <w:szCs w:val="20"/>
              </w:rPr>
              <w:t xml:space="preserve">Low</w:t>
            </w:r>
          </w:p>
        </w:tc>
        <w:tc>
          <w:tcPr/>
          <w:p>
            <w:pPr>
              <w:pStyle w:val="Normal"/>
              <w:jc w:val="left"/>
              <w:spacing w:line="240" w:lineRule="auto" w:after="0"/>
            </w:pPr>
            <w:r>
              <w:rPr>
                <w:rFonts w:ascii="Times New Roman" w:hAnsi="Times New Roman" w:cs="Times New Roman" w:eastAsia="Times New Roman"/>
                <w:sz w:val="20"/>
                <w:szCs w:val="20"/>
              </w:rPr>
              <w:t xml:space="preserve">Low</w:t>
            </w:r>
          </w:p>
        </w:tc>
        <w:tc>
          <w:tcPr/>
          <w:p>
            <w:pPr>
              <w:pStyle w:val="Normal"/>
              <w:jc w:val="left"/>
              <w:spacing w:line="240" w:lineRule="auto" w:after="0"/>
            </w:pPr>
            <w:r>
              <w:rPr>
                <w:rFonts w:ascii="Times New Roman" w:hAnsi="Times New Roman" w:cs="Times New Roman" w:eastAsia="Times New Roman"/>
                <w:sz w:val="20"/>
                <w:szCs w:val="20"/>
              </w:rPr>
              <w:t xml:space="preserve">Low</w:t>
            </w:r>
          </w:p>
        </w:tc>
        <w:tc>
          <w:tcPr/>
          <w:p>
            <w:pPr>
              <w:pStyle w:val="Normal"/>
              <w:jc w:val="left"/>
              <w:spacing w:line="240" w:lineRule="auto" w:after="0"/>
            </w:pPr>
            <w:r>
              <w:rPr>
                <w:rFonts w:ascii="Times New Roman" w:hAnsi="Times New Roman" w:cs="Times New Roman" w:eastAsia="Times New Roman"/>
                <w:sz w:val="20"/>
                <w:szCs w:val="20"/>
              </w:rPr>
              <w:t xml:space="preserve">Low</w:t>
            </w:r>
          </w:p>
        </w:tc>
      </w:tr>
      <w:tr>
        <w:tc>
          <w:tcPr/>
          <w:p>
            <w:pPr>
              <w:pStyle w:val="Normal"/>
              <w:jc w:val="left"/>
              <w:spacing w:line="240" w:lineRule="auto" w:after="0"/>
            </w:pPr>
            <w:r>
              <w:rPr>
                <w:rFonts w:ascii="Times New Roman" w:hAnsi="Times New Roman" w:cs="Times New Roman" w:eastAsia="Times New Roman"/>
                <w:sz w:val="20"/>
                <w:szCs w:val="20"/>
              </w:rPr>
              <w:t xml:space="preserve">Inconsistency</w:t>
            </w:r>
          </w:p>
        </w:tc>
        <w:tc>
          <w:tcPr/>
          <w:p>
            <w:pPr>
              <w:pStyle w:val="Normal"/>
              <w:jc w:val="left"/>
              <w:spacing w:line="240" w:lineRule="auto" w:after="0"/>
            </w:pPr>
            <w:r>
              <w:rPr>
                <w:rFonts w:ascii="Times New Roman" w:hAnsi="Times New Roman" w:cs="Times New Roman" w:eastAsia="Times New Roman"/>
                <w:sz w:val="20"/>
                <w:szCs w:val="20"/>
              </w:rPr>
              <w:t xml:space="preserve">High (</w:t>
            </w:r>
            <m:oMath>
              <m:sSup>
                <m:e>
                  <m:r>
                    <m:t>I</m:t>
                  </m:r>
                </m:e>
                <m:sup>
                  <m:r>
                    <m:t>2</m:t>
                  </m:r>
                </m:sup>
              </m:sSup>
            </m:oMath>
            <w:r>
              <w:rPr>
                <w:rFonts w:ascii="Times New Roman" w:hAnsi="Times New Roman" w:cs="Times New Roman" w:eastAsia="Times New Roman"/>
                <w:sz w:val="20"/>
                <w:szCs w:val="20"/>
              </w:rPr>
              <w:t xml:space="preserve"> </w:t>
            </w:r>
            <w:r>
              <w:rPr>
                <w:rFonts w:ascii="Times New Roman" w:hAnsi="Times New Roman" w:cs="Times New Roman" w:eastAsia="Times New Roman"/>
                <w:sz w:val="20"/>
                <w:szCs w:val="20"/>
              </w:rPr>
              <w:t xml:space="preserve">= 62%)</w:t>
            </w:r>
          </w:p>
        </w:tc>
        <w:tc>
          <w:tcPr/>
          <w:p>
            <w:pPr>
              <w:pStyle w:val="Normal"/>
              <w:jc w:val="left"/>
              <w:spacing w:line="240" w:lineRule="auto" w:after="0"/>
            </w:pPr>
            <w:r>
              <w:rPr>
                <w:rFonts w:ascii="Times New Roman" w:hAnsi="Times New Roman" w:cs="Times New Roman" w:eastAsia="Times New Roman"/>
                <w:sz w:val="20"/>
                <w:szCs w:val="20"/>
              </w:rPr>
              <w:t xml:space="preserve">High (</w:t>
            </w:r>
            <m:oMath>
              <m:sSup>
                <m:e>
                  <m:r>
                    <m:t>I</m:t>
                  </m:r>
                </m:e>
                <m:sup>
                  <m:r>
                    <m:t>2</m:t>
                  </m:r>
                </m:sup>
              </m:sSup>
            </m:oMath>
            <w:r>
              <w:rPr>
                <w:rFonts w:ascii="Times New Roman" w:hAnsi="Times New Roman" w:cs="Times New Roman" w:eastAsia="Times New Roman"/>
                <w:sz w:val="20"/>
                <w:szCs w:val="20"/>
              </w:rPr>
              <w:t xml:space="preserve"> </w:t>
            </w:r>
            <w:r>
              <w:rPr>
                <w:rFonts w:ascii="Times New Roman" w:hAnsi="Times New Roman" w:cs="Times New Roman" w:eastAsia="Times New Roman"/>
                <w:sz w:val="20"/>
                <w:szCs w:val="20"/>
              </w:rPr>
              <w:t xml:space="preserve">= 62%)</w:t>
            </w:r>
          </w:p>
        </w:tc>
        <w:tc>
          <w:tcPr/>
          <w:p>
            <w:pPr>
              <w:pStyle w:val="Normal"/>
              <w:jc w:val="left"/>
              <w:spacing w:line="240" w:lineRule="auto" w:after="0"/>
            </w:pPr>
            <w:r>
              <w:rPr>
                <w:rFonts w:ascii="Times New Roman" w:hAnsi="Times New Roman" w:cs="Times New Roman" w:eastAsia="Times New Roman"/>
                <w:sz w:val="20"/>
                <w:szCs w:val="20"/>
              </w:rPr>
              <w:t xml:space="preserve">Low (</w:t>
            </w:r>
            <m:oMath>
              <m:sSup>
                <m:e>
                  <m:r>
                    <m:t>I</m:t>
                  </m:r>
                </m:e>
                <m:sup>
                  <m:r>
                    <m:t>2</m:t>
                  </m:r>
                </m:sup>
              </m:sSup>
            </m:oMath>
            <w:r>
              <w:rPr>
                <w:rFonts w:ascii="Times New Roman" w:hAnsi="Times New Roman" w:cs="Times New Roman" w:eastAsia="Times New Roman"/>
                <w:sz w:val="20"/>
                <w:szCs w:val="20"/>
              </w:rPr>
              <w:t xml:space="preserve"> </w:t>
            </w:r>
            <w:r>
              <w:rPr>
                <w:rFonts w:ascii="Times New Roman" w:hAnsi="Times New Roman" w:cs="Times New Roman" w:eastAsia="Times New Roman"/>
                <w:sz w:val="20"/>
                <w:szCs w:val="20"/>
              </w:rPr>
              <w:t xml:space="preserve">= 0%)</w:t>
            </w:r>
          </w:p>
        </w:tc>
        <w:tc>
          <w:tcPr/>
          <w:p>
            <w:pPr>
              <w:pStyle w:val="Normal"/>
              <w:jc w:val="left"/>
              <w:spacing w:line="240" w:lineRule="auto" w:after="0"/>
            </w:pPr>
            <w:r>
              <w:rPr>
                <w:rFonts w:ascii="Times New Roman" w:hAnsi="Times New Roman" w:cs="Times New Roman" w:eastAsia="Times New Roman"/>
                <w:sz w:val="20"/>
                <w:szCs w:val="20"/>
              </w:rPr>
              <w:t xml:space="preserve">Low (</w:t>
            </w:r>
            <m:oMath>
              <m:sSup>
                <m:e>
                  <m:r>
                    <m:t>I</m:t>
                  </m:r>
                </m:e>
                <m:sup>
                  <m:r>
                    <m:t>2</m:t>
                  </m:r>
                </m:sup>
              </m:sSup>
            </m:oMath>
            <w:r>
              <w:rPr>
                <w:rFonts w:ascii="Times New Roman" w:hAnsi="Times New Roman" w:cs="Times New Roman" w:eastAsia="Times New Roman"/>
                <w:sz w:val="20"/>
                <w:szCs w:val="20"/>
              </w:rPr>
              <w:t xml:space="preserve"> </w:t>
            </w:r>
            <w:r>
              <w:rPr>
                <w:rFonts w:ascii="Times New Roman" w:hAnsi="Times New Roman" w:cs="Times New Roman" w:eastAsia="Times New Roman"/>
                <w:sz w:val="20"/>
                <w:szCs w:val="20"/>
              </w:rPr>
              <w:t xml:space="preserve">= 0%)</w:t>
            </w:r>
          </w:p>
        </w:tc>
      </w:tr>
      <w:tr>
        <w:tc>
          <w:tcPr/>
          <w:p>
            <w:pPr>
              <w:pStyle w:val="Normal"/>
              <w:jc w:val="left"/>
              <w:spacing w:line="240" w:lineRule="auto" w:after="0"/>
            </w:pPr>
            <w:r>
              <w:rPr>
                <w:rFonts w:ascii="Times New Roman" w:hAnsi="Times New Roman" w:cs="Times New Roman" w:eastAsia="Times New Roman"/>
                <w:sz w:val="20"/>
                <w:szCs w:val="20"/>
              </w:rPr>
              <w:t xml:space="preserve">Indirectness</w:t>
            </w:r>
          </w:p>
        </w:tc>
        <w:tc>
          <w:tcPr/>
          <w:p>
            <w:pPr>
              <w:pStyle w:val="Normal"/>
              <w:jc w:val="left"/>
              <w:spacing w:line="240" w:lineRule="auto" w:after="0"/>
            </w:pPr>
            <w:r>
              <w:rPr>
                <w:rFonts w:ascii="Times New Roman" w:hAnsi="Times New Roman" w:cs="Times New Roman" w:eastAsia="Times New Roman"/>
                <w:sz w:val="20"/>
                <w:szCs w:val="20"/>
              </w:rPr>
              <w:t xml:space="preserve">Not assessed</w:t>
            </w:r>
          </w:p>
        </w:tc>
        <w:tc>
          <w:tcPr/>
          <w:p>
            <w:pPr>
              <w:pStyle w:val="Normal"/>
              <w:jc w:val="left"/>
              <w:spacing w:line="240" w:lineRule="auto" w:after="0"/>
            </w:pPr>
            <w:r>
              <w:rPr>
                <w:rFonts w:ascii="Times New Roman" w:hAnsi="Times New Roman" w:cs="Times New Roman" w:eastAsia="Times New Roman"/>
                <w:sz w:val="20"/>
                <w:szCs w:val="20"/>
              </w:rPr>
              <w:t xml:space="preserve">Moderate: event rate decreased by 18%</w:t>
            </w:r>
          </w:p>
        </w:tc>
        <w:tc>
          <w:tcPr/>
          <w:p>
            <w:pPr>
              <w:pStyle w:val="Normal"/>
              <w:jc w:val="left"/>
              <w:spacing w:line="240" w:lineRule="auto" w:after="0"/>
            </w:pPr>
            <w:r>
              <w:rPr>
                <w:rFonts w:ascii="Times New Roman" w:hAnsi="Times New Roman" w:cs="Times New Roman" w:eastAsia="Times New Roman"/>
                <w:sz w:val="20"/>
                <w:szCs w:val="20"/>
              </w:rPr>
              <w:t xml:space="preserve">Not assessed</w:t>
            </w:r>
          </w:p>
        </w:tc>
        <w:tc>
          <w:tcPr/>
          <w:p>
            <w:pPr>
              <w:pStyle w:val="Normal"/>
              <w:jc w:val="left"/>
              <w:spacing w:line="240" w:lineRule="auto" w:after="0"/>
            </w:pPr>
            <w:r>
              <w:rPr>
                <w:rFonts w:ascii="Times New Roman" w:hAnsi="Times New Roman" w:cs="Times New Roman" w:eastAsia="Times New Roman"/>
                <w:sz w:val="20"/>
                <w:szCs w:val="20"/>
              </w:rPr>
              <w:t xml:space="preserve">Serious: event rate decreased by 47%</w:t>
            </w:r>
          </w:p>
        </w:tc>
      </w:tr>
      <w:tr>
        <w:tc>
          <w:tcPr/>
          <w:p>
            <w:pPr>
              <w:pStyle w:val="Normal"/>
              <w:jc w:val="left"/>
              <w:spacing w:line="240" w:lineRule="auto" w:after="0"/>
            </w:pPr>
            <w:r>
              <w:rPr>
                <w:rFonts w:ascii="Times New Roman" w:hAnsi="Times New Roman" w:cs="Times New Roman" w:eastAsia="Times New Roman"/>
                <w:sz w:val="20"/>
                <w:szCs w:val="20"/>
              </w:rPr>
              <w:t xml:space="preserve">Imprecision</w:t>
            </w:r>
          </w:p>
        </w:tc>
        <w:tc>
          <w:tcPr/>
          <w:p>
            <w:pPr>
              <w:pStyle w:val="Normal"/>
              <w:jc w:val="left"/>
              <w:spacing w:line="240" w:lineRule="auto" w:after="0"/>
            </w:pPr>
            <w:r>
              <w:rPr>
                <w:rFonts w:ascii="Times New Roman" w:hAnsi="Times New Roman" w:cs="Times New Roman" w:eastAsia="Times New Roman"/>
                <w:sz w:val="20"/>
                <w:szCs w:val="20"/>
              </w:rPr>
              <w:t xml:space="preserve">Serious</w:t>
            </w:r>
          </w:p>
        </w:tc>
        <w:tc>
          <w:tcPr/>
          <w:p>
            <w:pPr>
              <w:pStyle w:val="Normal"/>
              <w:jc w:val="left"/>
              <w:spacing w:line="240" w:lineRule="auto" w:after="0"/>
            </w:pPr>
            <w:r>
              <w:rPr>
                <w:rFonts w:ascii="Times New Roman" w:hAnsi="Times New Roman" w:cs="Times New Roman" w:eastAsia="Times New Roman"/>
                <w:sz w:val="20"/>
                <w:szCs w:val="20"/>
              </w:rPr>
              <w:t xml:space="preserve">Serious (heterogeneity-driven)</w:t>
            </w:r>
          </w:p>
        </w:tc>
        <w:tc>
          <w:tcPr/>
          <w:p>
            <w:pPr>
              <w:pStyle w:val="Normal"/>
              <w:jc w:val="left"/>
              <w:spacing w:line="240" w:lineRule="auto" w:after="0"/>
            </w:pPr>
            <w:r>
              <w:rPr>
                <w:rFonts w:ascii="Times New Roman" w:hAnsi="Times New Roman" w:cs="Times New Roman" w:eastAsia="Times New Roman"/>
                <w:sz w:val="20"/>
                <w:szCs w:val="20"/>
              </w:rPr>
              <w:t xml:space="preserve">Serious</w:t>
            </w:r>
          </w:p>
        </w:tc>
        <w:tc>
          <w:tcPr/>
          <w:p>
            <w:pPr>
              <w:pStyle w:val="Normal"/>
              <w:jc w:val="left"/>
              <w:spacing w:line="240" w:lineRule="auto" w:after="0"/>
            </w:pPr>
            <w:r>
              <w:rPr>
                <w:rFonts w:ascii="Times New Roman" w:hAnsi="Times New Roman" w:cs="Times New Roman" w:eastAsia="Times New Roman"/>
                <w:sz w:val="20"/>
                <w:szCs w:val="20"/>
              </w:rPr>
              <w:t xml:space="preserve">Serious</w:t>
            </w:r>
          </w:p>
        </w:tc>
      </w:tr>
      <w:tr>
        <w:tc>
          <w:tcPr/>
          <w:p>
            <w:pPr>
              <w:pStyle w:val="Normal"/>
              <w:jc w:val="left"/>
              <w:spacing w:line="240" w:lineRule="auto" w:after="0"/>
            </w:pPr>
            <w:r>
              <w:rPr>
                <w:rFonts w:ascii="Times New Roman" w:hAnsi="Times New Roman" w:cs="Times New Roman" w:eastAsia="Times New Roman"/>
                <w:sz w:val="20"/>
                <w:szCs w:val="20"/>
              </w:rPr>
              <w:t xml:space="preserve">Overall certainty</w:t>
            </w:r>
          </w:p>
        </w:tc>
        <w:tc>
          <w:tcPr/>
          <w:p>
            <w:pPr>
              <w:pStyle w:val="Normal"/>
              <w:jc w:val="left"/>
              <w:spacing w:line="240" w:lineRule="auto" w:after="0"/>
            </w:pPr>
            <w:r>
              <w:rPr>
                <w:rFonts w:ascii="Times New Roman" w:hAnsi="Times New Roman" w:cs="Times New Roman" w:eastAsia="Times New Roman"/>
                <w:sz w:val="20"/>
                <w:szCs w:val="20"/>
              </w:rPr>
              <w:t xml:space="preserve">Low</w:t>
            </w:r>
          </w:p>
        </w:tc>
        <w:tc>
          <w:tcPr/>
          <w:p>
            <w:pPr>
              <w:pStyle w:val="Normal"/>
              <w:jc w:val="left"/>
              <w:spacing w:line="240" w:lineRule="auto" w:after="0"/>
            </w:pPr>
            <w:r>
              <w:rPr>
                <w:rFonts w:ascii="Times New Roman" w:hAnsi="Times New Roman" w:cs="Times New Roman" w:eastAsia="Times New Roman"/>
                <w:sz w:val="20"/>
                <w:szCs w:val="20"/>
              </w:rPr>
              <w:t xml:space="preserve">Very low</w:t>
            </w:r>
          </w:p>
        </w:tc>
        <w:tc>
          <w:tcPr/>
          <w:p>
            <w:pPr>
              <w:pStyle w:val="Normal"/>
              <w:jc w:val="left"/>
              <w:spacing w:line="240" w:lineRule="auto" w:after="0"/>
            </w:pPr>
            <w:r>
              <w:rPr>
                <w:rFonts w:ascii="Times New Roman" w:hAnsi="Times New Roman" w:cs="Times New Roman" w:eastAsia="Times New Roman"/>
                <w:sz w:val="20"/>
                <w:szCs w:val="20"/>
              </w:rPr>
              <w:t xml:space="preserve">Moderate</w:t>
            </w:r>
          </w:p>
        </w:tc>
        <w:tc>
          <w:tcPr/>
          <w:p>
            <w:pPr>
              <w:pStyle w:val="Normal"/>
              <w:jc w:val="left"/>
              <w:spacing w:line="240" w:lineRule="auto" w:after="0"/>
            </w:pPr>
            <w:r>
              <w:rPr>
                <w:rFonts w:ascii="Times New Roman" w:hAnsi="Times New Roman" w:cs="Times New Roman" w:eastAsia="Times New Roman"/>
                <w:sz w:val="20"/>
                <w:szCs w:val="20"/>
              </w:rPr>
              <w:t xml:space="preserve">Low</w:t>
            </w:r>
          </w:p>
        </w:tc>
      </w:tr>
      <w:tr>
        <w:tc>
          <w:tcPr/>
          <w:p>
            <w:pPr>
              <w:pStyle w:val="Normal"/>
              <w:jc w:val="left"/>
              <w:spacing w:line="240" w:lineRule="auto" w:after="0"/>
            </w:pPr>
            <w:r>
              <w:rPr>
                <w:rFonts w:ascii="Times New Roman" w:hAnsi="Times New Roman" w:cs="Times New Roman" w:eastAsia="Times New Roman"/>
                <w:sz w:val="20"/>
                <w:szCs w:val="20"/>
              </w:rPr>
              <w:t xml:space="preserve">Recommendation</w:t>
            </w:r>
          </w:p>
        </w:tc>
        <w:tc>
          <w:tcPr/>
          <w:p>
            <w:pPr>
              <w:pStyle w:val="Normal"/>
              <w:jc w:val="left"/>
              <w:spacing w:line="240" w:lineRule="auto" w:after="0"/>
            </w:pPr>
            <w:r>
              <w:rPr>
                <w:rFonts w:ascii="Times New Roman" w:hAnsi="Times New Roman" w:cs="Times New Roman" w:eastAsia="Times New Roman"/>
                <w:sz w:val="20"/>
                <w:szCs w:val="20"/>
              </w:rPr>
              <w:t xml:space="preserve">“</w:t>
            </w:r>
            <w:r>
              <w:rPr>
                <w:rFonts w:ascii="Times New Roman" w:hAnsi="Times New Roman" w:cs="Times New Roman" w:eastAsia="Times New Roman"/>
                <w:sz w:val="20"/>
                <w:szCs w:val="20"/>
              </w:rPr>
              <w:t xml:space="preserve">No benefit demonstrated</w:t>
            </w:r>
            <w:r>
              <w:rPr>
                <w:rFonts w:ascii="Times New Roman" w:hAnsi="Times New Roman" w:cs="Times New Roman" w:eastAsia="Times New Roman"/>
                <w:sz w:val="20"/>
                <w:szCs w:val="20"/>
              </w:rPr>
              <w:t xml:space="preserve">”</w:t>
            </w:r>
          </w:p>
        </w:tc>
        <w:tc>
          <w:tcPr/>
          <w:p>
            <w:pPr>
              <w:pStyle w:val="Normal"/>
              <w:jc w:val="left"/>
              <w:spacing w:line="240" w:lineRule="auto" w:after="0"/>
            </w:pPr>
            <w:r>
              <w:rPr>
                <w:rFonts w:ascii="Times New Roman" w:hAnsi="Times New Roman" w:cs="Times New Roman" w:eastAsia="Times New Roman"/>
                <w:sz w:val="20"/>
                <w:szCs w:val="20"/>
              </w:rPr>
              <w:t xml:space="preserve">“</w:t>
            </w:r>
            <w:r>
              <w:rPr>
                <w:rFonts w:ascii="Times New Roman" w:hAnsi="Times New Roman" w:cs="Times New Roman" w:eastAsia="Times New Roman"/>
                <w:sz w:val="20"/>
                <w:szCs w:val="20"/>
              </w:rPr>
              <w:t xml:space="preserve">Inconclusive; conditional recommendation</w:t>
            </w:r>
            <w:r>
              <w:rPr>
                <w:rFonts w:ascii="Times New Roman" w:hAnsi="Times New Roman" w:cs="Times New Roman" w:eastAsia="Times New Roman"/>
                <w:sz w:val="20"/>
                <w:szCs w:val="20"/>
              </w:rPr>
              <w:t xml:space="preserve">”</w:t>
            </w:r>
          </w:p>
        </w:tc>
        <w:tc>
          <w:tcPr/>
          <w:p>
            <w:pPr>
              <w:pStyle w:val="Normal"/>
              <w:jc w:val="left"/>
              <w:spacing w:line="240" w:lineRule="auto" w:after="0"/>
            </w:pPr>
            <w:r>
              <w:rPr>
                <w:rFonts w:ascii="Times New Roman" w:hAnsi="Times New Roman" w:cs="Times New Roman" w:eastAsia="Times New Roman"/>
                <w:sz w:val="20"/>
                <w:szCs w:val="20"/>
              </w:rPr>
              <w:t xml:space="preserve">“</w:t>
            </w:r>
            <w:r>
              <w:rPr>
                <w:rFonts w:ascii="Times New Roman" w:hAnsi="Times New Roman" w:cs="Times New Roman" w:eastAsia="Times New Roman"/>
                <w:sz w:val="20"/>
                <w:szCs w:val="20"/>
              </w:rPr>
              <w:t xml:space="preserve">No benefit demonstrated</w:t>
            </w:r>
            <w:r>
              <w:rPr>
                <w:rFonts w:ascii="Times New Roman" w:hAnsi="Times New Roman" w:cs="Times New Roman" w:eastAsia="Times New Roman"/>
                <w:sz w:val="20"/>
                <w:szCs w:val="20"/>
              </w:rPr>
              <w:t xml:space="preserve">”</w:t>
            </w:r>
          </w:p>
        </w:tc>
        <w:tc>
          <w:tcPr/>
          <w:p>
            <w:pPr>
              <w:pStyle w:val="Normal"/>
              <w:jc w:val="left"/>
              <w:spacing w:line="240" w:lineRule="auto" w:after="0"/>
            </w:pPr>
            <w:r>
              <w:rPr>
                <w:rFonts w:ascii="Times New Roman" w:hAnsi="Times New Roman" w:cs="Times New Roman" w:eastAsia="Times New Roman"/>
                <w:sz w:val="20"/>
                <w:szCs w:val="20"/>
              </w:rPr>
              <w:t xml:space="preserve">“</w:t>
            </w:r>
            <w:r>
              <w:rPr>
                <w:rFonts w:ascii="Times New Roman" w:hAnsi="Times New Roman" w:cs="Times New Roman" w:eastAsia="Times New Roman"/>
                <w:sz w:val="20"/>
                <w:szCs w:val="20"/>
              </w:rPr>
              <w:t xml:space="preserve">Inconclusive; conditional recommendation</w:t>
            </w:r>
            <w:r>
              <w:rPr>
                <w:rFonts w:ascii="Times New Roman" w:hAnsi="Times New Roman" w:cs="Times New Roman" w:eastAsia="Times New Roman"/>
                <w:sz w:val="20"/>
                <w:szCs w:val="20"/>
              </w:rPr>
              <w:t xml:space="preserve">”</w:t>
            </w:r>
          </w:p>
        </w:tc>
      </w:tr>
    </w:tbl>
    <w:p>
      <w:pPr>
        <w:jc w:val="center"/>
      </w:pPr>
      <w:r>
        <w:drawing>
          <wp:inline xmlns:a="http://schemas.openxmlformats.org/drawingml/2006/main" xmlns:pic="http://schemas.openxmlformats.org/drawingml/2006/picture">
            <wp:extent cx="5029200" cy="2715861"/>
            <wp:docPr id="8" name="Picture 8"/>
            <wp:cNvGraphicFramePr>
              <a:graphicFrameLocks noChangeAspect="1"/>
            </wp:cNvGraphicFramePr>
            <a:graphic>
              <a:graphicData uri="http://schemas.openxmlformats.org/drawingml/2006/picture">
                <pic:pic>
                  <pic:nvPicPr>
                    <pic:cNvPr id="0" name="fig8_module_h_comparison.png"/>
                    <pic:cNvPicPr/>
                  </pic:nvPicPr>
                  <pic:blipFill>
                    <a:blip r:embed="rId16"/>
                    <a:stretch>
                      <a:fillRect/>
                    </a:stretch>
                  </pic:blipFill>
                  <pic:spPr>
                    <a:xfrm>
                      <a:off x="0" y="0"/>
                      <a:ext cx="5029200" cy="2715861"/>
                    </a:xfrm>
                    <a:prstGeom prst="rect"/>
                  </pic:spPr>
                </pic:pic>
              </a:graphicData>
            </a:graphic>
          </wp:inline>
        </w:drawing>
      </w:r>
    </w:p>
    <w:p>
      <w:pPr>
        <w:jc w:val="left"/>
      </w:pPr>
      <w:r>
        <w:rPr>
          <w:rFonts w:ascii="Times New Roman" w:hAnsi="Times New Roman"/>
          <w:b/>
          <w:sz w:val="20"/>
        </w:rPr>
        <w:t xml:space="preserve">Figure 8. </w:t>
      </w:r>
      <w:r>
        <w:rPr>
          <w:rFonts w:ascii="Times New Roman" w:hAnsi="Times New Roman"/>
          <w:sz w:val="20"/>
        </w:rPr>
        <w:t>Module H assessment comparison: standard GRADE vs. KOTHA-enhanced evaluation for both illustrative cases. Color coding indicates severity of concern (green = no concern, yellow = moderate, red = serious).</w:t>
      </w:r>
    </w:p>
    <w:p>
      <w:pPr>
        <w:pStyle w:val="Heading2"/>
      </w:pPr>
      <w:r>
        <w:rPr>
          <w:rFonts w:ascii="Times New Roman" w:hAnsi="Times New Roman"/>
          <w:b/>
          <w:color w:val="000000"/>
          <w:sz w:val="24"/>
        </w:rPr>
        <w:t>Discussion</w:t>
      </w:r>
    </w:p>
    <w:p>
      <w:pPr>
        <w:pStyle w:val="Heading3"/>
      </w:pPr>
      <w:r>
        <w:rPr>
          <w:rFonts w:ascii="Times New Roman" w:hAnsi="Times New Roman"/>
          <w:b/>
          <w:color w:val="000000"/>
          <w:sz w:val="24"/>
        </w:rPr>
        <w:t>Principal findings</w:t>
      </w:r>
    </w:p>
    <w:p xmlns:a="http://schemas.openxmlformats.org/drawingml/2006/main" xmlns:pic="http://schemas.openxmlformats.org/drawingml/2006/picture">
      <w:pPr>
        <w:pStyle w:val="Normal"/>
        <w:spacing w:line="480" w:lineRule="auto" w:after="120"/>
      </w:pPr>
      <w:r>
        <w:rPr>
          <w:rFonts w:ascii="Times New Roman" w:hAnsi="Times New Roman" w:cs="Times New Roman" w:eastAsia="Times New Roman"/>
          <w:sz w:val="24"/>
          <w:szCs w:val="24"/>
        </w:rPr>
        <w:t xml:space="preserve">The KOTHA Framework integrates counterfactual power simulation, Bayesian evidence synthesis, and structured GRADE interpretation to diagnose structural information loss in RCT meta-analyses. In the magnesium case, Module K identified an 18% temporal decline in control event rates from the pre-thrombolysis era to ISIS-4. The divergence between pre-ISIS-4 and all-trials estimates is better explained by era-dependent treatment effect heterogeneity (</w:t>
      </w:r>
      <m:oMath>
        <m:sSup>
          <m:e>
            <m:r>
              <m:t>I</m:t>
            </m:r>
          </m:e>
          <m:sup>
            <m:r>
              <m:t>2</m:t>
            </m:r>
          </m:sup>
        </m:sSup>
      </m:oMath>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62%) than by simple underpowering. In the statins case, Module K showed that RCT populations had roughly half the event rate of observational cohorts, and that power for a modest effect (HR = 0.85) dropped from 85% to 58%. Module T demonstrated that even modest borrowing from observational evidence shifted posterior probabilities of benefit substantially, but uncertainty remained. Module H reclassified both cases as inconclusive rather than</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w:t>
      </w:r>
      <w:r>
        <w:rPr>
          <w:rFonts w:ascii="Times New Roman" w:hAnsi="Times New Roman" w:cs="Times New Roman" w:eastAsia="Times New Roman"/>
          <w:sz w:val="24"/>
          <w:szCs w:val="24"/>
        </w:rPr>
        <w:t xml:space="preserve">no effect.</w:t>
      </w:r>
      <w:r>
        <w:rPr>
          <w:rFonts w:ascii="Times New Roman" w:hAnsi="Times New Roman" w:cs="Times New Roman" w:eastAsia="Times New Roman"/>
          <w:sz w:val="24"/>
          <w:szCs w:val="24"/>
        </w:rPr>
        <w:t xml:space="preserve">”</w:t>
      </w:r>
    </w:p>
    <w:p>
      <w:pPr>
        <w:pStyle w:val="Heading3"/>
      </w:pPr>
      <w:r>
        <w:rPr>
          <w:rFonts w:ascii="Times New Roman" w:hAnsi="Times New Roman"/>
          <w:b/>
          <w:color w:val="000000"/>
          <w:sz w:val="24"/>
        </w:rPr>
        <w:t>Implications for clinical trial design</w:t>
      </w:r>
    </w:p>
    <w:p xmlns:a="http://schemas.openxmlformats.org/drawingml/2006/main" xmlns:pic="http://schemas.openxmlformats.org/drawingml/2006/picture">
      <w:pPr>
        <w:pStyle w:val="Normal"/>
        <w:spacing w:line="480" w:lineRule="auto" w:after="120"/>
      </w:pPr>
      <w:r>
        <w:rPr>
          <w:rFonts w:ascii="Times New Roman" w:hAnsi="Times New Roman" w:cs="Times New Roman" w:eastAsia="Times New Roman"/>
          <w:sz w:val="24"/>
          <w:szCs w:val="24"/>
        </w:rPr>
        <w:t xml:space="preserve">Module K has direct prospective value. Before a trial is conducted, investigators can use published or registry-derived event rates for the target population (S1), for the population expected to enroll under current eligibility criteria (S2), and for an enriched design (S3). This comparison can inform four design decisions:</w:t>
      </w:r>
    </w:p>
    <w:p xmlns:a="http://schemas.openxmlformats.org/drawingml/2006/main" xmlns:pic="http://schemas.openxmlformats.org/drawingml/2006/picture">
      <w:pPr>
        <w:pStyle w:val="List Bullet"/>
        <w:spacing w:line="480" w:lineRule="auto" w:after="120"/>
      </w:pPr>
      <w:r>
        <w:rPr>
          <w:bCs/>
          <w:b/>
          <w:rFonts w:ascii="Times New Roman" w:hAnsi="Times New Roman" w:cs="Times New Roman" w:eastAsia="Times New Roman"/>
          <w:sz w:val="24"/>
          <w:szCs w:val="24"/>
        </w:rPr>
        <w:t xml:space="preserve">Sample size</w:t>
      </w:r>
      <w:r>
        <w:rPr>
          <w:rFonts w:ascii="Times New Roman" w:hAnsi="Times New Roman" w:cs="Times New Roman" w:eastAsia="Times New Roman"/>
          <w:sz w:val="24"/>
          <w:szCs w:val="24"/>
        </w:rPr>
        <w:t xml:space="preserve">: required N can be calculated under S2 and S3 rather than under an assumed event rate that may not materialize.</w:t>
      </w:r>
    </w:p>
    <w:p xmlns:a="http://schemas.openxmlformats.org/drawingml/2006/main" xmlns:pic="http://schemas.openxmlformats.org/drawingml/2006/picture">
      <w:pPr>
        <w:pStyle w:val="List Bullet"/>
        <w:spacing w:line="480" w:lineRule="auto" w:after="120"/>
      </w:pPr>
      <w:r>
        <w:rPr>
          <w:bCs/>
          <w:b/>
          <w:rFonts w:ascii="Times New Roman" w:hAnsi="Times New Roman" w:cs="Times New Roman" w:eastAsia="Times New Roman"/>
          <w:sz w:val="24"/>
          <w:szCs w:val="24"/>
        </w:rPr>
        <w:t xml:space="preserve">Eligibility criteria</w:t>
      </w:r>
      <w:r>
        <w:rPr>
          <w:rFonts w:ascii="Times New Roman" w:hAnsi="Times New Roman" w:cs="Times New Roman" w:eastAsia="Times New Roman"/>
          <w:sz w:val="24"/>
          <w:szCs w:val="24"/>
        </w:rPr>
        <w:t xml:space="preserve">: the information cost of excluding high-risk subgroups can be quantified and balanced against safety considerations.</w:t>
      </w:r>
    </w:p>
    <w:p xmlns:a="http://schemas.openxmlformats.org/drawingml/2006/main" xmlns:pic="http://schemas.openxmlformats.org/drawingml/2006/picture">
      <w:pPr>
        <w:pStyle w:val="List Bullet"/>
        <w:spacing w:line="480" w:lineRule="auto" w:after="120"/>
      </w:pPr>
      <w:r>
        <w:rPr>
          <w:bCs/>
          <w:b/>
          <w:rFonts w:ascii="Times New Roman" w:hAnsi="Times New Roman" w:cs="Times New Roman" w:eastAsia="Times New Roman"/>
          <w:sz w:val="24"/>
          <w:szCs w:val="24"/>
        </w:rPr>
        <w:t xml:space="preserve">Enrichment thresholds</w:t>
      </w:r>
      <w:r>
        <w:rPr>
          <w:rFonts w:ascii="Times New Roman" w:hAnsi="Times New Roman" w:cs="Times New Roman" w:eastAsia="Times New Roman"/>
          <w:sz w:val="24"/>
          <w:szCs w:val="24"/>
        </w:rPr>
        <w:t xml:space="preserve">: a minimum proportion of high-risk patients can be prespecified and powered.</w:t>
      </w:r>
    </w:p>
    <w:p xmlns:a="http://schemas.openxmlformats.org/drawingml/2006/main" xmlns:pic="http://schemas.openxmlformats.org/drawingml/2006/picture">
      <w:pPr>
        <w:pStyle w:val="List Bullet"/>
        <w:spacing w:line="480" w:lineRule="auto" w:after="120"/>
      </w:pPr>
      <w:r>
        <w:rPr>
          <w:bCs/>
          <w:b/>
          <w:rFonts w:ascii="Times New Roman" w:hAnsi="Times New Roman" w:cs="Times New Roman" w:eastAsia="Times New Roman"/>
          <w:sz w:val="24"/>
          <w:szCs w:val="24"/>
        </w:rPr>
        <w:t xml:space="preserve">Endpoints and follow-up</w:t>
      </w:r>
      <w:r>
        <w:rPr>
          <w:rFonts w:ascii="Times New Roman" w:hAnsi="Times New Roman" w:cs="Times New Roman" w:eastAsia="Times New Roman"/>
          <w:sz w:val="24"/>
          <w:szCs w:val="24"/>
        </w:rPr>
        <w:t xml:space="preserve">: when the primary event rate is diluted, composite endpoints or longer follow-up can be evaluated.</w:t>
      </w:r>
    </w:p>
    <w:p xmlns:a="http://schemas.openxmlformats.org/drawingml/2006/main" xmlns:pic="http://schemas.openxmlformats.org/drawingml/2006/picture">
      <w:pPr>
        <w:pStyle w:val="Normal"/>
        <w:spacing w:line="480" w:lineRule="auto" w:after="120"/>
      </w:pPr>
      <w:r>
        <w:rPr>
          <w:rFonts w:ascii="Times New Roman" w:hAnsi="Times New Roman" w:cs="Times New Roman" w:eastAsia="Times New Roman"/>
          <w:sz w:val="24"/>
          <w:szCs w:val="24"/>
        </w:rPr>
        <w:t xml:space="preserve">In this way, KOTHA moves the design conversation from</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w:t>
      </w:r>
      <w:r>
        <w:rPr>
          <w:rFonts w:ascii="Times New Roman" w:hAnsi="Times New Roman" w:cs="Times New Roman" w:eastAsia="Times New Roman"/>
          <w:sz w:val="24"/>
          <w:szCs w:val="24"/>
        </w:rPr>
        <w:t xml:space="preserve">what sample size do we need under the planned effect?</w:t>
      </w:r>
      <w:r>
        <w:rPr>
          <w:rFonts w:ascii="Times New Roman" w:hAnsi="Times New Roman" w:cs="Times New Roman" w:eastAsia="Times New Roman"/>
          <w:sz w:val="24"/>
          <w:szCs w:val="24"/>
        </w:rPr>
        <w:t xml:space="preserve">”</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to</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w:t>
      </w:r>
      <w:r>
        <w:rPr>
          <w:rFonts w:ascii="Times New Roman" w:hAnsi="Times New Roman" w:cs="Times New Roman" w:eastAsia="Times New Roman"/>
          <w:sz w:val="24"/>
          <w:szCs w:val="24"/>
        </w:rPr>
        <w:t xml:space="preserve">what sample size do we need under the event rate we will actually observe in the enrolled population?</w:t>
      </w:r>
      <w:r>
        <w:rPr>
          <w:rFonts w:ascii="Times New Roman" w:hAnsi="Times New Roman" w:cs="Times New Roman" w:eastAsia="Times New Roman"/>
          <w:sz w:val="24"/>
          <w:szCs w:val="24"/>
        </w:rPr>
        <w:t xml:space="preserve">”</w:t>
      </w:r>
    </w:p>
    <w:p>
      <w:pPr>
        <w:pStyle w:val="Heading3"/>
      </w:pPr>
      <w:r>
        <w:rPr>
          <w:rFonts w:ascii="Times New Roman" w:hAnsi="Times New Roman"/>
          <w:b/>
          <w:color w:val="000000"/>
          <w:sz w:val="24"/>
        </w:rPr>
        <w:t>Comparison with existing methods</w:t>
      </w:r>
    </w:p>
    <w:p xmlns:a="http://schemas.openxmlformats.org/drawingml/2006/main" xmlns:pic="http://schemas.openxmlformats.org/drawingml/2006/picture">
      <w:pPr>
        <w:pStyle w:val="Normal"/>
        <w:spacing w:line="480" w:lineRule="auto" w:after="120"/>
      </w:pPr>
      <w:r>
        <w:rPr>
          <w:rFonts w:ascii="Times New Roman" w:hAnsi="Times New Roman" w:cs="Times New Roman" w:eastAsia="Times New Roman"/>
          <w:sz w:val="24"/>
          <w:szCs w:val="24"/>
        </w:rPr>
        <w:t xml:space="preserve">Target trial emulation uses observational data to mimic a specific RCT in order to estimate a causal effect [25-26]. Module K is complementary: it does not estimate effects but quantifies the information lost due to enrollment decisions. Existing methods for combining RCT and observational evidence include hierarchical models, power priors, and meta-analytic-predictive priors [27-29]. Module T builds on these but embeds them in a broader workflow that first diagnoses the need for integration and then interprets the result through Module H. TSA and OIS are well established [6-9], but are not routinely used to quantify risk-profile shifts. GRADE provides domains for assessment [1]; KOTHA provides quantitative inputs to the imprecision and indirectness domains without changing GRADE’s structure.</w:t>
      </w:r>
    </w:p>
    <w:p>
      <w:pPr>
        <w:pStyle w:val="Heading3"/>
      </w:pPr>
      <w:r>
        <w:rPr>
          <w:rFonts w:ascii="Times New Roman" w:hAnsi="Times New Roman"/>
          <w:b/>
          <w:color w:val="000000"/>
          <w:sz w:val="24"/>
        </w:rPr>
        <w:t>Strengths and limitations</w:t>
      </w:r>
    </w:p>
    <w:p xmlns:a="http://schemas.openxmlformats.org/drawingml/2006/main" xmlns:pic="http://schemas.openxmlformats.org/drawingml/2006/picture">
      <w:pPr>
        <w:pStyle w:val="Normal"/>
        <w:spacing w:line="480" w:lineRule="auto" w:after="120"/>
      </w:pPr>
      <w:r>
        <w:rPr>
          <w:rFonts w:ascii="Times New Roman" w:hAnsi="Times New Roman" w:cs="Times New Roman" w:eastAsia="Times New Roman"/>
          <w:sz w:val="24"/>
          <w:szCs w:val="24"/>
        </w:rPr>
        <w:t xml:space="preserve">The framework is reproducible from published aggregate data, follows the ADEMP reporting structure [10], and is illustrated with real, well-documented cases rather than synthetic examples. The modular design allows each component to be used independently.</w:t>
      </w:r>
    </w:p>
    <w:p xmlns:a="http://schemas.openxmlformats.org/drawingml/2006/main" xmlns:pic="http://schemas.openxmlformats.org/drawingml/2006/picture">
      <w:pPr>
        <w:pStyle w:val="Normal"/>
        <w:spacing w:line="480" w:lineRule="auto" w:after="120"/>
      </w:pPr>
      <w:r>
        <w:rPr>
          <w:rFonts w:ascii="Times New Roman" w:hAnsi="Times New Roman" w:cs="Times New Roman" w:eastAsia="Times New Roman"/>
          <w:sz w:val="24"/>
          <w:szCs w:val="24"/>
        </w:rPr>
        <w:t xml:space="preserve">Limitations should be acknowledged. The cases are retrospective applications; prospective validation against trials whose results are not yet known would be stronger. Module T results are sensitive to the discounting parameter</w:t>
      </w:r>
      <w:r>
        <w:rPr>
          <w:rFonts w:ascii="Times New Roman" w:hAnsi="Times New Roman" w:cs="Times New Roman" w:eastAsia="Times New Roman"/>
          <w:sz w:val="24"/>
          <w:szCs w:val="24"/>
        </w:rPr>
        <w:t xml:space="preserve"> </w:t>
      </w:r>
      <m:oMath>
        <m:r>
          <m:t>α</m:t>
        </m:r>
      </m:oMath>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and to assumptions about residual confounding; we present sensitivity analyses but do not claim a single preferred</w:t>
      </w:r>
      <w:r>
        <w:rPr>
          <w:rFonts w:ascii="Times New Roman" w:hAnsi="Times New Roman" w:cs="Times New Roman" w:eastAsia="Times New Roman"/>
          <w:sz w:val="24"/>
          <w:szCs w:val="24"/>
        </w:rPr>
        <w:t xml:space="preserve"> </w:t>
      </w:r>
      <m:oMath>
        <m:r>
          <m:t>α</m:t>
        </m:r>
      </m:oMath>
      <w:r>
        <w:rPr>
          <w:rFonts w:ascii="Times New Roman" w:hAnsi="Times New Roman" w:cs="Times New Roman" w:eastAsia="Times New Roman"/>
          <w:sz w:val="24"/>
          <w:szCs w:val="24"/>
        </w:rPr>
        <w:t xml:space="preserve">. The magnesium case involves genuine treatment-effect heterogeneity across thrombolysis eras, which Module K identifies but cannot fully explain. Finally, adoption by guideline groups will require institutional change beyond the method itself.</w:t>
      </w:r>
    </w:p>
    <w:p>
      <w:pPr>
        <w:pStyle w:val="Heading2"/>
      </w:pPr>
      <w:r>
        <w:rPr>
          <w:rFonts w:ascii="Times New Roman" w:hAnsi="Times New Roman"/>
          <w:b/>
          <w:color w:val="000000"/>
          <w:sz w:val="24"/>
        </w:rPr>
        <w:t>Conclusions</w:t>
      </w:r>
    </w:p>
    <w:p xmlns:a="http://schemas.openxmlformats.org/drawingml/2006/main" xmlns:pic="http://schemas.openxmlformats.org/drawingml/2006/picture">
      <w:pPr>
        <w:pStyle w:val="Normal"/>
        <w:spacing w:line="480" w:lineRule="auto" w:after="120"/>
      </w:pPr>
      <w:r>
        <w:rPr>
          <w:rFonts w:ascii="Times New Roman" w:hAnsi="Times New Roman" w:cs="Times New Roman" w:eastAsia="Times New Roman"/>
          <w:sz w:val="24"/>
          <w:szCs w:val="24"/>
        </w:rPr>
        <w:t xml:space="preserve">The KOTHA Framework (Knowledge-driven Observational-Trial Harmonization Approach) addresses structural information loss in RCT meta-analyses through counterfactual power simulation, hierarchical Bayesian evidence integration, and structured GRADE-compatible interpretation. Empirical application to magnesium in AMI and statins in heart failure demonstrates that the framework can identify enrollment-driven event dilution, quantify its impact on statistical power, and produce more nuanced evidence assessments than standard approaches.</w:t>
      </w:r>
    </w:p>
    <w:p>
      <w:pPr>
        <w:pStyle w:val="Heading2"/>
      </w:pPr>
      <w:r>
        <w:rPr>
          <w:rFonts w:ascii="Times New Roman" w:hAnsi="Times New Roman"/>
          <w:b/>
          <w:color w:val="000000"/>
          <w:sz w:val="24"/>
        </w:rPr>
        <w:t>Declarations</w:t>
      </w:r>
    </w:p>
    <w:p>
      <w:pPr>
        <w:pStyle w:val="Heading3"/>
      </w:pPr>
      <w:r>
        <w:rPr>
          <w:rFonts w:ascii="Times New Roman" w:hAnsi="Times New Roman"/>
          <w:b/>
          <w:color w:val="000000"/>
          <w:sz w:val="24"/>
        </w:rPr>
        <w:t>Ethics approval and consent to participate</w:t>
      </w:r>
    </w:p>
    <w:p xmlns:a="http://schemas.openxmlformats.org/drawingml/2006/main" xmlns:pic="http://schemas.openxmlformats.org/drawingml/2006/picture">
      <w:pPr>
        <w:pStyle w:val="Normal"/>
        <w:spacing w:line="480" w:lineRule="auto" w:after="120"/>
      </w:pPr>
      <w:r>
        <w:rPr>
          <w:rFonts w:ascii="Times New Roman" w:hAnsi="Times New Roman" w:cs="Times New Roman" w:eastAsia="Times New Roman"/>
          <w:sz w:val="24"/>
          <w:szCs w:val="24"/>
        </w:rPr>
        <w:t xml:space="preserve">Not applicable. This study proposes a methodological framework and uses only published aggregate data.</w:t>
      </w:r>
    </w:p>
    <w:p>
      <w:pPr>
        <w:pStyle w:val="Heading3"/>
      </w:pPr>
      <w:r>
        <w:rPr>
          <w:rFonts w:ascii="Times New Roman" w:hAnsi="Times New Roman"/>
          <w:b/>
          <w:color w:val="000000"/>
          <w:sz w:val="24"/>
        </w:rPr>
        <w:t>Consent for publication</w:t>
      </w:r>
    </w:p>
    <w:p xmlns:a="http://schemas.openxmlformats.org/drawingml/2006/main" xmlns:pic="http://schemas.openxmlformats.org/drawingml/2006/picture">
      <w:pPr>
        <w:pStyle w:val="Normal"/>
        <w:spacing w:line="480" w:lineRule="auto" w:after="120"/>
      </w:pPr>
      <w:r>
        <w:rPr>
          <w:rFonts w:ascii="Times New Roman" w:hAnsi="Times New Roman" w:cs="Times New Roman" w:eastAsia="Times New Roman"/>
          <w:sz w:val="24"/>
          <w:szCs w:val="24"/>
        </w:rPr>
        <w:t xml:space="preserve">Not applicable.</w:t>
      </w:r>
    </w:p>
    <w:p>
      <w:pPr>
        <w:pStyle w:val="Heading3"/>
      </w:pPr>
      <w:r>
        <w:rPr>
          <w:rFonts w:ascii="Times New Roman" w:hAnsi="Times New Roman"/>
          <w:b/>
          <w:color w:val="000000"/>
          <w:sz w:val="24"/>
        </w:rPr>
        <w:t>Availability of data and materials</w:t>
      </w:r>
    </w:p>
    <w:p xmlns:a="http://schemas.openxmlformats.org/drawingml/2006/main" xmlns:pic="http://schemas.openxmlformats.org/drawingml/2006/picture">
      <w:pPr>
        <w:pStyle w:val="Normal"/>
        <w:spacing w:line="480" w:lineRule="auto" w:after="120"/>
      </w:pPr>
      <w:r>
        <w:rPr>
          <w:rFonts w:ascii="Times New Roman" w:hAnsi="Times New Roman" w:cs="Times New Roman" w:eastAsia="Times New Roman"/>
          <w:sz w:val="24"/>
          <w:szCs w:val="24"/>
        </w:rPr>
        <w:t xml:space="preserve">All data are from published sources and are included in the repository (https://github.com/bougtoir/kotha-rct-decomposition). Python code that reproduces all results, tables, and figures is available in the same repository.</w:t>
      </w:r>
    </w:p>
    <w:p>
      <w:pPr>
        <w:pStyle w:val="Heading3"/>
      </w:pPr>
      <w:r>
        <w:rPr>
          <w:rFonts w:ascii="Times New Roman" w:hAnsi="Times New Roman"/>
          <w:b/>
          <w:color w:val="000000"/>
          <w:sz w:val="24"/>
        </w:rPr>
        <w:t>Competing interests</w:t>
      </w:r>
    </w:p>
    <w:p xmlns:a="http://schemas.openxmlformats.org/drawingml/2006/main" xmlns:pic="http://schemas.openxmlformats.org/drawingml/2006/picture">
      <w:pPr>
        <w:pStyle w:val="Normal"/>
        <w:spacing w:line="480" w:lineRule="auto" w:after="120"/>
      </w:pPr>
      <w:r>
        <w:rPr>
          <w:rFonts w:ascii="Times New Roman" w:hAnsi="Times New Roman" w:cs="Times New Roman" w:eastAsia="Times New Roman"/>
          <w:sz w:val="24"/>
          <w:szCs w:val="24"/>
        </w:rPr>
        <w:t xml:space="preserve">The authors declare that they have no competing interests.</w:t>
      </w:r>
    </w:p>
    <w:p>
      <w:pPr>
        <w:pStyle w:val="Heading3"/>
      </w:pPr>
      <w:r>
        <w:rPr>
          <w:rFonts w:ascii="Times New Roman" w:hAnsi="Times New Roman"/>
          <w:b/>
          <w:color w:val="000000"/>
          <w:sz w:val="24"/>
        </w:rPr>
        <w:t>Funding</w:t>
      </w:r>
    </w:p>
    <w:p xmlns:a="http://schemas.openxmlformats.org/drawingml/2006/main" xmlns:pic="http://schemas.openxmlformats.org/drawingml/2006/picture">
      <w:pPr>
        <w:pStyle w:val="Normal"/>
        <w:spacing w:line="480" w:lineRule="auto" w:after="120"/>
      </w:pPr>
      <w:r>
        <w:rPr>
          <w:rFonts w:ascii="Times New Roman" w:hAnsi="Times New Roman" w:cs="Times New Roman" w:eastAsia="Times New Roman"/>
          <w:sz w:val="24"/>
          <w:szCs w:val="24"/>
        </w:rPr>
        <w:t xml:space="preserve">[To be determined]</w:t>
      </w:r>
    </w:p>
    <w:p>
      <w:pPr>
        <w:pStyle w:val="Heading3"/>
      </w:pPr>
      <w:r>
        <w:rPr>
          <w:rFonts w:ascii="Times New Roman" w:hAnsi="Times New Roman"/>
          <w:b/>
          <w:color w:val="000000"/>
          <w:sz w:val="24"/>
        </w:rPr>
        <w:t>Authors' contributions</w:t>
      </w:r>
    </w:p>
    <w:p xmlns:a="http://schemas.openxmlformats.org/drawingml/2006/main" xmlns:pic="http://schemas.openxmlformats.org/drawingml/2006/picture">
      <w:pPr>
        <w:pStyle w:val="Normal"/>
        <w:spacing w:line="480" w:lineRule="auto" w:after="120"/>
      </w:pPr>
      <w:r>
        <w:rPr>
          <w:rFonts w:ascii="Times New Roman" w:hAnsi="Times New Roman" w:cs="Times New Roman" w:eastAsia="Times New Roman"/>
          <w:sz w:val="24"/>
          <w:szCs w:val="24"/>
        </w:rPr>
        <w:t xml:space="preserve">[To be determined]</w:t>
      </w:r>
    </w:p>
    <w:p>
      <w:pPr>
        <w:pStyle w:val="Heading3"/>
      </w:pPr>
      <w:r>
        <w:rPr>
          <w:rFonts w:ascii="Times New Roman" w:hAnsi="Times New Roman"/>
          <w:b/>
          <w:color w:val="000000"/>
          <w:sz w:val="24"/>
        </w:rPr>
        <w:t>Acknowledgements</w:t>
      </w:r>
    </w:p>
    <w:p xmlns:a="http://schemas.openxmlformats.org/drawingml/2006/main" xmlns:pic="http://schemas.openxmlformats.org/drawingml/2006/picture">
      <w:pPr>
        <w:pStyle w:val="Normal"/>
        <w:spacing w:line="480" w:lineRule="auto" w:after="120"/>
      </w:pPr>
      <w:r>
        <w:rPr>
          <w:rFonts w:ascii="Times New Roman" w:hAnsi="Times New Roman" w:cs="Times New Roman" w:eastAsia="Times New Roman"/>
          <w:sz w:val="24"/>
          <w:szCs w:val="24"/>
        </w:rPr>
        <w:t xml:space="preserve">[To be determined]</w:t>
      </w:r>
    </w:p>
    <w:p>
      <w:pPr>
        <w:pStyle w:val="Heading2"/>
      </w:pPr>
      <w:r>
        <w:rPr>
          <w:rFonts w:ascii="Times New Roman" w:hAnsi="Times New Roman"/>
          <w:b/>
          <w:color w:val="000000"/>
          <w:sz w:val="24"/>
        </w:rPr>
        <w:t>References</w:t>
      </w:r>
    </w:p>
    <w:p>
      <w:r>
        <w:rPr>
          <w:rFonts w:ascii="Times New Roman" w:hAnsi="Times New Roman"/>
          <w:sz w:val="20"/>
        </w:rPr>
        <w:t>1. Guyatt GH, Oxman AD, Vist GE, Kunz R, Falck-Ytter Y, Alonso-Coello P, et al. GRADE: an emerging consensus on rating quality of evidence and strength of recommendations. BMJ. 2008;336(7650):924-6.</w:t>
      </w:r>
    </w:p>
    <w:p>
      <w:r>
        <w:rPr>
          <w:rFonts w:ascii="Times New Roman" w:hAnsi="Times New Roman"/>
          <w:sz w:val="20"/>
        </w:rPr>
        <w:t>2. Concato J, Shah N, Horwitz RI. Randomized, controlled trials, observational studies, and the hierarchy of research designs. N Engl J Med. 2000;342(25):1887-92.</w:t>
      </w:r>
    </w:p>
    <w:p>
      <w:r>
        <w:rPr>
          <w:rFonts w:ascii="Times New Roman" w:hAnsi="Times New Roman"/>
          <w:sz w:val="20"/>
        </w:rPr>
        <w:t>3. Anglemyer A, Horvath HT, Bero L. Healthcare outcomes assessed with observational study designs compared with those assessed in randomized trials. Cochrane Database Syst Rev. 2014;(4):MR000034.</w:t>
      </w:r>
    </w:p>
    <w:p>
      <w:r>
        <w:rPr>
          <w:rFonts w:ascii="Times New Roman" w:hAnsi="Times New Roman"/>
          <w:sz w:val="20"/>
        </w:rPr>
        <w:t>4. Kennedy-Martin T, Curtis S, Faries D, Robinson S, Johnston J. A literature review on the representativeness of randomized controlled trial samples and implications for the external validity of trial results. Trials. 2015;16:495.</w:t>
      </w:r>
    </w:p>
    <w:p>
      <w:r>
        <w:rPr>
          <w:rFonts w:ascii="Times New Roman" w:hAnsi="Times New Roman"/>
          <w:sz w:val="20"/>
        </w:rPr>
        <w:t>5. Rothwell PM. External validity of randomised controlled trials: "to whom do the results of this trial apply?" Lancet. 2005;365(9453):82-93.</w:t>
      </w:r>
    </w:p>
    <w:p>
      <w:r>
        <w:rPr>
          <w:rFonts w:ascii="Times New Roman" w:hAnsi="Times New Roman"/>
          <w:sz w:val="20"/>
        </w:rPr>
        <w:t>6. Pogue JM, Yusuf S. Cumulating evidence from randomized trials: utilizing sequential monitoring boundaries for cumulative meta-analysis. Control Clin Trials. 1997;18(6):580-93.</w:t>
      </w:r>
    </w:p>
    <w:p>
      <w:r>
        <w:rPr>
          <w:rFonts w:ascii="Times New Roman" w:hAnsi="Times New Roman"/>
          <w:sz w:val="20"/>
        </w:rPr>
        <w:t>7. Wetterslev J, Thorlund K, Brok J, Gluud C. Estimating required information size by quantifying diversity in random-effects model meta-analyses. BMC Med Res Methodol. 2009;9:86.</w:t>
      </w:r>
    </w:p>
    <w:p>
      <w:r>
        <w:rPr>
          <w:rFonts w:ascii="Times New Roman" w:hAnsi="Times New Roman"/>
          <w:sz w:val="20"/>
        </w:rPr>
        <w:t>8. Brok J, Thorlund K, Gluud C, Wetterslev J. Trial sequential analysis reveals insufficient information size and potentially false positive results in many meta-analyses. J Clin Epidemiol. 2008;61(8):763-9.</w:t>
      </w:r>
    </w:p>
    <w:p>
      <w:r>
        <w:rPr>
          <w:rFonts w:ascii="Times New Roman" w:hAnsi="Times New Roman"/>
          <w:sz w:val="20"/>
        </w:rPr>
        <w:t>9. Thorlund K, Engstrom J, Wetterslev J, Brok J, Imberger G, Gluud C. User manual for trial sequential analysis (TSA). Copenhagen Trial Unit, Centre for Clinical Intervention Research; 2011.</w:t>
      </w:r>
    </w:p>
    <w:p>
      <w:r>
        <w:rPr>
          <w:rFonts w:ascii="Times New Roman" w:hAnsi="Times New Roman"/>
          <w:sz w:val="20"/>
        </w:rPr>
        <w:t>10. Morris TP, White IR, Crowther MJ. Using simulation studies to evaluate statistical methods. Stat Med. 2019;38(11):2074-102.</w:t>
      </w:r>
    </w:p>
    <w:p>
      <w:r>
        <w:rPr>
          <w:rFonts w:ascii="Times New Roman" w:hAnsi="Times New Roman"/>
          <w:sz w:val="20"/>
        </w:rPr>
        <w:t>11. Schoenfeld DA. Sample-size formula for the proportional-hazards regression model. Biometrics. 1983;39(2):499-503.</w:t>
      </w:r>
    </w:p>
    <w:p>
      <w:r>
        <w:rPr>
          <w:rFonts w:ascii="Times New Roman" w:hAnsi="Times New Roman"/>
          <w:sz w:val="20"/>
        </w:rPr>
        <w:t>12. McCaw ZR, Yin G, Wei LJ. Using the restricted mean survival time difference as an alternative to the hazard ratio for analyzing clinical cardiovascular studies. Circulation. 2019;140(17):1366-8. doi:10.1161/CIRCULATIONAHA.119.040680.</w:t>
      </w:r>
    </w:p>
    <w:p>
      <w:r>
        <w:rPr>
          <w:rFonts w:ascii="Times New Roman" w:hAnsi="Times New Roman"/>
          <w:sz w:val="20"/>
        </w:rPr>
        <w:t>13. Boyd AP, Kittelson JM, Gillen DL. Estimation of treatment effect under non-proportional hazards and conditionally independent censoring. Stat Med. 2012;31(28):3504-15. doi:10.1002/sim.5440.</w:t>
      </w:r>
    </w:p>
    <w:p>
      <w:r>
        <w:rPr>
          <w:rFonts w:ascii="Times New Roman" w:hAnsi="Times New Roman"/>
          <w:sz w:val="20"/>
        </w:rPr>
        <w:t>14. Sherry AD, Msaouel P, Kupferman GS, Lin TA, Abi Jaoude J, Kouzy R, et al. Evidence-based prior for estimating the treatment effect of phase III randomized trials in oncology. JCO Precis Oncol. 2024;8:e2400363. doi:10.1200/PO.24.00363.</w:t>
      </w:r>
    </w:p>
    <w:p>
      <w:r>
        <w:rPr>
          <w:rFonts w:ascii="Times New Roman" w:hAnsi="Times New Roman"/>
          <w:sz w:val="20"/>
        </w:rPr>
        <w:t>15. Ibrahim JG, Chen MH. Power prior distributions for regression models. Stat Sci. 2000;15(1):46-60.</w:t>
      </w:r>
    </w:p>
    <w:p>
      <w:r>
        <w:rPr>
          <w:rFonts w:ascii="Times New Roman" w:hAnsi="Times New Roman"/>
          <w:sz w:val="20"/>
        </w:rPr>
        <w:t>16. Teo KK, Yusuf S, Collins R, Held PH, Peto R. Effects of intravenous magnesium in suspected acute myocardial infarction: overview of randomised trials. BMJ. 1991;303(6816):1499-503.</w:t>
      </w:r>
    </w:p>
    <w:p>
      <w:r>
        <w:rPr>
          <w:rFonts w:ascii="Times New Roman" w:hAnsi="Times New Roman"/>
          <w:sz w:val="20"/>
        </w:rPr>
        <w:t>17. Li J, Zhang Q, Zhang M, Egger M. Intravenous magnesium for acute myocardial infarction. Cochrane Database Syst Rev. 2007;(2):CD002755.</w:t>
      </w:r>
    </w:p>
    <w:p>
      <w:r>
        <w:rPr>
          <w:rFonts w:ascii="Times New Roman" w:hAnsi="Times New Roman"/>
          <w:sz w:val="20"/>
        </w:rPr>
        <w:t>18. Anker SD, Clark AL, Winkler R, Zugck C, Cicoira M, Haehling S, et al. Statin use and survival in patients with chronic heart failure -- results from two observational studies with 5200 patients. Int J Cardiol. 2006;112(2):234-42.</w:t>
      </w:r>
    </w:p>
    <w:p>
      <w:r>
        <w:rPr>
          <w:rFonts w:ascii="Times New Roman" w:hAnsi="Times New Roman"/>
          <w:sz w:val="20"/>
        </w:rPr>
        <w:t>19. Mozaffarian D, Nye R, Levy WC. Statin therapy is associated with lower mortality among patients with severe heart failure. Am J Cardiol. 2004;93(9):1124-9.</w:t>
      </w:r>
    </w:p>
    <w:p>
      <w:r>
        <w:rPr>
          <w:rFonts w:ascii="Times New Roman" w:hAnsi="Times New Roman"/>
          <w:sz w:val="20"/>
        </w:rPr>
        <w:t>20. Horwich TB, MacLellan WR, Fonarow GC. Statin therapy is associated with improved survival in ischemic and non-ischemic heart failure. J Am Coll Cardiol. 2004;43(4):642-8.</w:t>
      </w:r>
    </w:p>
    <w:p>
      <w:r>
        <w:rPr>
          <w:rFonts w:ascii="Times New Roman" w:hAnsi="Times New Roman"/>
          <w:sz w:val="20"/>
        </w:rPr>
        <w:t>21. Go AS, Lee WY, Yang J, Lo JC, Gurwitz JH. Statin therapy and risks for death and hospitalization in chronic heart failure. JAMA. 2006;296(17):2105-11.</w:t>
      </w:r>
    </w:p>
    <w:p>
      <w:r>
        <w:rPr>
          <w:rFonts w:ascii="Times New Roman" w:hAnsi="Times New Roman"/>
          <w:sz w:val="20"/>
        </w:rPr>
        <w:t>22. Foody JM, Shah R, Galusha D, Masoudi FA, Havranek EP, Krumholz HM. Statins and mortality among elderly patients hospitalized with heart failure. Circulation. 2006;113(8):1086-92.</w:t>
      </w:r>
    </w:p>
    <w:p>
      <w:r>
        <w:rPr>
          <w:rFonts w:ascii="Times New Roman" w:hAnsi="Times New Roman"/>
          <w:sz w:val="20"/>
        </w:rPr>
        <w:t>23. Kjekshus J, Apetrei E, Barrios V, Bohm M, Cleland JG, Cornel JH, et al. Rosuvastatin in older patients with systolic heart failure. N Engl J Med. 2007;357(22):2248-61.</w:t>
      </w:r>
    </w:p>
    <w:p>
      <w:r>
        <w:rPr>
          <w:rFonts w:ascii="Times New Roman" w:hAnsi="Times New Roman"/>
          <w:sz w:val="20"/>
        </w:rPr>
        <w:t>24. GISSI-HF Investigators. Effect of rosuvastatin in patients with chronic heart failure (the GISSI-HF trial): a randomised, double-blind, placebo-controlled trial. Lancet. 2008;372(9645):1231-9.</w:t>
      </w:r>
    </w:p>
    <w:p>
      <w:r>
        <w:rPr>
          <w:rFonts w:ascii="Times New Roman" w:hAnsi="Times New Roman"/>
          <w:sz w:val="20"/>
        </w:rPr>
        <w:t>25. Hernan MA, Robins JM. Using big data to emulate a target trial when a randomized trial is not available. Am J Epidemiol. 2016;183(8):758-64.</w:t>
      </w:r>
    </w:p>
    <w:p>
      <w:r>
        <w:rPr>
          <w:rFonts w:ascii="Times New Roman" w:hAnsi="Times New Roman"/>
          <w:sz w:val="20"/>
        </w:rPr>
        <w:t>26. Hernan MA, Wang W, Leaf DE. Target trial emulation: a framework for causal inference from observational data. JAMA. 2022;328(24):2446-7.</w:t>
      </w:r>
    </w:p>
    <w:p>
      <w:r>
        <w:rPr>
          <w:rFonts w:ascii="Times New Roman" w:hAnsi="Times New Roman"/>
          <w:sz w:val="20"/>
        </w:rPr>
        <w:t>27. Schmidli H, Gsteiger S, Roychoudhury S, O'Hagan A, Spiegelhalter D, Neuenschwander B. Robust meta-analytic-predictive priors in clinical trials with historical control information. Biometrics. 2014;70(4):1023-32.</w:t>
      </w:r>
    </w:p>
    <w:p>
      <w:r>
        <w:rPr>
          <w:rFonts w:ascii="Times New Roman" w:hAnsi="Times New Roman"/>
          <w:sz w:val="20"/>
        </w:rPr>
        <w:t>28. Verde PE, Ohmann C. Combining randomized and non-randomized evidence in clinical research: a review of methods and applications. Res Synth Methods. 2015;6(1):45-62.</w:t>
      </w:r>
    </w:p>
    <w:p>
      <w:r>
        <w:rPr>
          <w:rFonts w:ascii="Times New Roman" w:hAnsi="Times New Roman"/>
          <w:sz w:val="20"/>
        </w:rPr>
        <w:t>29. Efthimiou O, Mavridis D, Debray TPA, Samara M, Belger M, Salanti G, et al. Combining randomized and non-randomized evidence in network meta-analysis. Stat Med. 2017;36(8):1210-26.</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480" w:lineRule="auto"/>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2025-01-01T00:00:00Z</dcterms:created>
  <dcterms:modified xsi:type="dcterms:W3CDTF">2025-01-01T00:00:00Z</dcterms:modified>
  <cp:category/>
</cp:coreProperties>
</file>