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/>
          <w:sz w:val="24"/>
        </w:rPr>
        <w:t>Highlights</w:t>
      </w:r>
    </w:p>
    <w:p>
      <w:pPr>
        <w:pStyle w:val="ListBullet"/>
      </w:pPr>
      <w:r>
        <w:rPr>
          <w:rFonts w:ascii="Times New Roman" w:hAnsi="Times New Roman"/>
          <w:sz w:val="24"/>
        </w:rPr>
        <w:t>KOTHA separates structural information loss from residual confounding.</w:t>
      </w:r>
    </w:p>
    <w:p>
      <w:pPr>
        <w:pStyle w:val="ListBullet"/>
      </w:pPr>
      <w:r>
        <w:rPr>
          <w:rFonts w:ascii="Times New Roman" w:hAnsi="Times New Roman"/>
          <w:sz w:val="24"/>
        </w:rPr>
        <w:t>Counterfactual power simulation quantifies enrollment-driven event dilution.</w:t>
      </w:r>
    </w:p>
    <w:p>
      <w:pPr>
        <w:pStyle w:val="ListBullet"/>
      </w:pPr>
      <w:r>
        <w:rPr>
          <w:rFonts w:ascii="Times New Roman" w:hAnsi="Times New Roman"/>
          <w:sz w:val="24"/>
        </w:rPr>
        <w:t>Power-prior Bayesian synthesis transparently discounts observational evidence.</w:t>
      </w:r>
    </w:p>
    <w:p>
      <w:pPr>
        <w:pStyle w:val="ListBullet"/>
      </w:pPr>
      <w:r>
        <w:rPr>
          <w:rFonts w:ascii="Times New Roman" w:hAnsi="Times New Roman"/>
          <w:sz w:val="24"/>
        </w:rPr>
        <w:t>GRADE-compatible output labels evidence as sufficient or insufficient.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2025-01-01T00:00:00Z</dcterms:created>
  <dcterms:modified xsi:type="dcterms:W3CDTF">2025-01-01T00:00:00Z</dcterms:modified>
  <cp:category/>
</cp:coreProperties>
</file>