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KOTHA (Knowledge-driven Observational-Trial Harmonization Approach)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0.73 (95% CrI: 0.28–2.09), P(OR &lt; 1) = 77%. In the statins case, observational studies showed HR = 0.72 (0.64–0.80) while RCTs showed HR = 0.97 (0.90–1.05), with event rate ratio of 0.53 (RCT/observational). Module H assessment identified that standard GRADE evaluation would conclude "no benefit demonstrated," whereas KOTHA-enhanced assessment classified both cases as informationally inconclusive with serious indirectness due to event dilution.</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KOTHA (Knowledge-driven Observational-Trial Harmonization Approach)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pPr>
        <w:pStyle w:val="Heading3"/>
      </w:pPr>
      <w:r>
        <w:rPr>
          <w:color w:val="000000"/>
        </w:rPr>
        <w:t>Illustrative case selection</w:t>
      </w:r>
    </w:p>
    <w:p>
      <w:r>
        <w:rPr>
          <w:rFonts w:ascii="Times New Roman" w:hAnsi="Times New Roman"/>
          <w:b w:val="0"/>
          <w:i w:val="0"/>
          <w:sz w:val="24"/>
        </w:rPr>
        <w:t>We selected two cases based on the following criteria: (1) well-documented observational-RCT discordance, (2) availability of study-level data from published meta-analyses, (3) extensive prior discussion of the reasons for divergence, and (4) relevance to the structural information loss hypothesis.</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Multiple large observational studies reported substantial mortality reduction with statins in HF patients (pooled HR approximately 0.72). Two large RCTs (CORONA, GISSI-HF) found no significant benefit (pooled HR approximately 0.97). The discordance has been attributed to both confounding in observational studies and selection of lower-risk RCT populations [20, 21, 22].</w:t>
      </w:r>
    </w:p>
    <w:p>
      <w:pPr>
        <w:pStyle w:val="Heading3"/>
      </w:pPr>
      <w:r>
        <w:rPr>
          <w:color w:val="000000"/>
        </w:rPr>
        <w:t>Data sources</w:t>
      </w:r>
    </w:p>
    <w:p>
      <w:pPr>
        <w:pStyle w:val="Heading4"/>
      </w:pPr>
      <w:r>
        <w:rPr>
          <w:color w:val="000000"/>
        </w:rPr>
        <w:t>Case 1: Magnesium in AMI</w:t>
      </w:r>
    </w:p>
    <w:p>
      <w:r>
        <w:rPr>
          <w:rFonts w:ascii="Times New Roman" w:hAnsi="Times New Roman"/>
          <w:b w:val="0"/>
          <w:i w:val="0"/>
          <w:sz w:val="24"/>
        </w:rPr>
        <w:t>Study-level data were extracted from published meta-analyses [18, 19] for 12 trials (Table 3). Trials were classified by era: pre-thrombolysis (1984–1990, 7 trials), transition (1991, 2 trials), and thrombolysis (1992–1995, 3 trials including ISIS-4).</w:t>
      </w:r>
    </w:p>
    <w:p>
      <w:r>
        <w:rPr>
          <w:rFonts w:ascii="Times New Roman" w:hAnsi="Times New Roman"/>
          <w:b/>
          <w:i w:val="0"/>
          <w:sz w:val="24"/>
        </w:rPr>
        <w:t>Table 3: Magnesium in AMI --- study-level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pPr>
        <w:pStyle w:val="Heading4"/>
      </w:pPr>
      <w:r>
        <w:rPr>
          <w:color w:val="000000"/>
        </w:rPr>
        <w:t>Case 2: Statins in heart failure</w:t>
      </w:r>
    </w:p>
    <w:p>
      <w:r>
        <w:rPr>
          <w:rFonts w:ascii="Times New Roman" w:hAnsi="Times New Roman"/>
          <w:b w:val="0"/>
          <w:i w:val="0"/>
          <w:sz w:val="24"/>
        </w:rPr>
        <w:t>Observational study data were extracted from five published cohort studies [20, 23, 24, 25, 26]. RCT data were from CORONA [21] and GISSI-HF [22] (Table 4).</w:t>
      </w:r>
    </w:p>
    <w:p>
      <w:r>
        <w:rPr>
          <w:rFonts w:ascii="Times New Roman" w:hAnsi="Times New Roman"/>
          <w:b/>
          <w:i w:val="0"/>
          <w:sz w:val="24"/>
        </w:rPr>
        <w:t>Table 4: Statins in HF --- study-level data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Case 1: Magnesium in AMI</w:t>
      </w:r>
    </w:p>
    <w:p>
      <w:r>
        <w:rPr>
          <w:rFonts w:ascii="Times New Roman" w:hAnsi="Times New Roman"/>
          <w:b w:val="0"/>
          <w:i w:val="0"/>
          <w:sz w:val="24"/>
        </w:rPr>
        <w:t>Odds ratios and standard errors were computed for each trial using the Peto method with continuity correction. DerSimonian-Laird 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an 18% reduction in control event rates in the thrombolysis era (Fig. 2).</w:t>
      </w:r>
    </w:p>
    <w:p>
      <w:r>
        <w:rPr>
          <w:rFonts w:ascii="Times New Roman" w:hAnsi="Times New Roman"/>
          <w:b w:val="0"/>
          <w:i w:val="0"/>
          <w:sz w:val="24"/>
        </w:rPr>
        <w:t>Power analysis at the ISIS-4 sample size (N = 58,050) showed that for the pre-ISIS-4 pooled effect (OR = 0.54), power exceeded 99% under all scenarios — 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Case 2: Statins in HF</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rate (8%). At more modest effects (HR = 0.85), power was 84.6% under the observational rate but only 58.3% under the RCT rate — a 26 percentage-point reduction attributable to event dilution.</w:t>
      </w:r>
    </w:p>
    <w:p>
      <w:pPr>
        <w:pStyle w:val="Heading3"/>
      </w:pPr>
      <w:r>
        <w:rPr>
          <w:color w:val="000000"/>
        </w:rPr>
        <w:t>Module T results</w:t>
      </w:r>
    </w:p>
    <w:p>
      <w:pPr>
        <w:pStyle w:val="Heading4"/>
      </w:pPr>
      <w:r>
        <w:rPr>
          <w:color w:val="000000"/>
        </w:rPr>
        <w:t>Case 1: Magnesium in AMI</w:t>
      </w:r>
    </w:p>
    <w:p>
      <w:r>
        <w:rPr>
          <w:rFonts w:ascii="Times New Roman" w:hAnsi="Times New Roman"/>
          <w:b w:val="0"/>
          <w:i w:val="0"/>
          <w:sz w:val="24"/>
        </w:rPr>
        <w:t>Power prior analysis treated the 11 pre-ISIS-4 trials as prior evidence and ISIS-4 as the primary RCT evidence. Table 5 presents results across the discounting grid, with the full forest plot in Fig. 4.</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16.3%</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27.2%</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43.3%</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55.3%</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78.2%</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87.2%</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92.8%</w:t>
            </w:r>
          </w:p>
        </w:tc>
      </w:tr>
    </w:tbl>
    <w:p>
      <w:r>
        <w:rPr>
          <w:rFonts w:ascii="Times New Roman" w:hAnsi="Times New Roman"/>
          <w:b w:val="0"/>
          <w:i w:val="0"/>
          <w:sz w:val="24"/>
        </w:rPr>
        <w:t>At \alpha = 0 (ISIS-4 only), the posterior median OR was 1.11 with only 30.6% probability of benefit. As \alpha increased, incorporating pre-ISIS-4 evidence progressively shifted the posterior toward benefit. At \alpha = 0.3 (moderate discounting), the posterior OR was 0.73 with 77% probability of benefit. The sensitivity analysis demonstrates that conclusions about magnesium efficacy depend critically on the weight assigned to pre-ISIS-4 evidence (Fig. 5A).</w:t>
      </w:r>
    </w:p>
    <w:p>
      <w:pPr>
        <w:pStyle w:val="Heading4"/>
      </w:pPr>
      <w:r>
        <w:rPr>
          <w:color w:val="000000"/>
        </w:rPr>
        <w:t>Case 2: Statins in HF</w:t>
      </w:r>
    </w:p>
    <w:p>
      <w:r>
        <w:rPr>
          <w:rFonts w:ascii="Times New Roman" w:hAnsi="Times New Roman"/>
          <w:b w:val="0"/>
          <w:i w:val="0"/>
          <w:sz w:val="24"/>
        </w:rPr>
        <w:t>Power prior analysis treated observational studies as prior evidence and the two RCTs as primary evidence. Table 6 presents results, with the full forest plot in Fig. 6.</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5.3%</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20.2%</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32.6%</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42.0%</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56.5%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68.0%</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79.3%</w:t>
            </w:r>
          </w:p>
        </w:tc>
      </w:tr>
    </w:tbl>
    <w:p>
      <w:r>
        <w:rPr>
          <w:rFonts w:ascii="Times New Roman" w:hAnsi="Times New Roman"/>
          <w:b w:val="0"/>
          <w:i w:val="0"/>
          <w:sz w:val="24"/>
        </w:rPr>
        <w:t>At \alpha = 0 (RCTs only), the posterior probability of any benefit was only 60.9%, and the probability of clinically meaningful benefit (HR &lt; 0.90) was 17.7%. Even modest incorporation of observational evidence (\alpha = 0.3) increased P(HR &lt; 1) to 83.7% and P(HR &lt; 0.90) to 65.7%.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Case 1: 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Case 2: Statins in HF</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 — temporal event dilution (magnesium) and population risk-profile differences (statins) — 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