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2107</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w:t>
      </w:r>
    </w:p>
    <w:p>
      <w:r>
        <w:br w:type="page"/>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Evidence-based medicine places randomized controlled trials (RCTs) and their meta-analyses at the top of the evidence hierarchy [1]. Discordance between observational and RCT evidence is often attributed to confounding, but an underexplored structural explanation is that trial enrollment progressively excludes higher-risk patients, diluting event rates and reducing statistical information. We developed the KOTHA (Knowledge-driven Observational-Trial Harmonization Approach) Framework to diagnose and address this structural information loss.</w:t>
      </w:r>
    </w:p>
    <w:p>
      <w:r>
        <w:rPr>
          <w:rFonts w:ascii="Times New Roman" w:hAnsi="Times New Roman"/>
          <w:b/>
          <w:i w:val="0"/>
          <w:sz w:val="24"/>
        </w:rPr>
        <w:t>Methods</w:t>
      </w:r>
      <w:r>
        <w:rPr>
          <w:rFonts w:ascii="Times New Roman" w:hAnsi="Times New Roman"/>
          <w:b w:val="0"/>
          <w:i w:val="0"/>
          <w:sz w:val="24"/>
        </w:rPr>
        <w:t>: KOTHA comprises three modules. Module K uses counterfactual power simulation to quantify how enrollment-driven risk-profile shifts alter statistical power. Module T integrates RCT and observational evidence through hierarchical Bayesian meta-analysis with power-prior discounting. Module H translates these outputs into a structured GRADE-compatible evidence assessment. We illustrated the framework using published data from two cases of observational-RCT divergence: intravenous magnesium in acute myocardial infarction (12 trials, 1984-1995) and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fell from 8.9% (pre-thrombolysis era) to 7.2% (ISIS-4). The pre-ISIS-4 meta-analysis yielded OR = 0.54 (95% CI: 0.40-0.75), while the all-trials estimate was OR = 0.56 (0.38-0.83) with I² = 62%. In the statins case, observational studies showed HR = 0.72 (0.64-0.80) and RCTs showed HR = 0.97 (0.90-1.05), with an RCT-to-observational event rate ratio of 0.53. Bayesian integration with moderate discounting (α = 0.3) yielded OR = 0.73 (95% CrI: 0.28-2.09), P(OR &lt; 1) = 77% for magnesium and HR = 0.85 (0.59-1.57), P(HR &lt; 1) = 84% for statins. Module H reclassified both cases as informationally inconclusive with serious indirectness.</w:t>
      </w:r>
    </w:p>
    <w:p>
      <w:r>
        <w:rPr>
          <w:rFonts w:ascii="Times New Roman" w:hAnsi="Times New Roman"/>
          <w:b/>
          <w:i w:val="0"/>
          <w:sz w:val="24"/>
        </w:rPr>
        <w:t>Conclusions</w:t>
      </w:r>
      <w:r>
        <w:rPr>
          <w:rFonts w:ascii="Times New Roman" w:hAnsi="Times New Roman"/>
          <w:b w:val="0"/>
          <w:i w:val="0"/>
          <w:sz w:val="24"/>
        </w:rPr>
        <w:t>: The KOTHA Framework provides a reproducible, quantitative method to distinguish "evidence of no effect" from "no evidence of effect" and to inform trial design, evidence synthesis, and guideline interpretation.</w:t>
      </w:r>
    </w:p>
    <w:p>
      <w:r>
        <w:rPr>
          <w:rFonts w:ascii="Times New Roman" w:hAnsi="Times New Roman"/>
          <w:b/>
          <w:i w:val="0"/>
          <w:sz w:val="24"/>
        </w:rPr>
        <w:t>Keywords</w:t>
      </w:r>
      <w:r>
        <w:rPr>
          <w:rFonts w:ascii="Times New Roman" w:hAnsi="Times New Roman"/>
          <w:b w:val="0"/>
          <w:i w:val="0"/>
          <w:sz w:val="24"/>
        </w:rPr>
        <w:t>: randomized controlled trials, meta-analysis, observational studies, trial design, counterfactual simulation, Bayesian evidence synthesis, power analysis, GRADE, magnesium, statins, heart failure</w:t>
      </w:r>
    </w:p>
    <w:p>
      <w:pPr>
        <w:pStyle w:val="Heading2"/>
      </w:pPr>
      <w:r>
        <w:rPr>
          <w:color w:val="000000"/>
        </w:rPr>
        <w:t>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Introduction</w:t>
      </w:r>
    </w:p>
    <w:p>
      <w:r>
        <w:rPr>
          <w:rFonts w:ascii="Times New Roman" w:hAnsi="Times New Roman"/>
          <w:b w:val="0"/>
          <w:i w:val="0"/>
          <w:sz w:val="24"/>
        </w:rPr>
        <w:t>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w:r>
        <w:rPr>
          <w:rFonts w:ascii="Times New Roman" w:hAnsi="Times New Roman"/>
          <w:b w:val="0"/>
          <w:i w:val="0"/>
          <w:sz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 </w:t>
      </w:r>
      <w:r>
        <w:rPr>
          <w:rFonts w:ascii="Times New Roman" w:hAnsi="Times New Roman"/>
          <w:b/>
          <w:i w:val="0"/>
          <w:sz w:val="24"/>
        </w:rPr>
        <w:t>structural information loss</w:t>
      </w:r>
      <w:r>
        <w:rPr>
          <w:rFonts w:ascii="Times New Roman" w:hAnsi="Times New Roman"/>
          <w:b w:val="0"/>
          <w:i w:val="0"/>
          <w:sz w:val="24"/>
        </w:rPr>
        <w:t>, a five-step causal chain: representativeness loss; event concentration in excluded populations; inadequate design compensation; systematic underpowering; and, ultimately, distorted recommendations when "no statistically significant difference" is interpreted as "no effect".</w:t>
      </w:r>
    </w:p>
    <w:p>
      <w:r>
        <w:rPr>
          <w:rFonts w:ascii="Times New Roman" w:hAnsi="Times New Roman"/>
          <w:b w:val="0"/>
          <w:i w:val="0"/>
          <w:sz w:val="24"/>
        </w:rPr>
        <w:t>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w:r>
        <w:rPr>
          <w:rFonts w:ascii="Times New Roman" w:hAnsi="Times New Roman"/>
          <w:b w:val="0"/>
          <w:i w:val="0"/>
          <w:sz w:val="24"/>
        </w:rPr>
        <w:t>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w:r>
        <w:rPr>
          <w:rFonts w:ascii="Times New Roman" w:hAnsi="Times New Roman"/>
          <w:b w:val="0"/>
          <w:i w:val="0"/>
          <w:sz w:val="24"/>
        </w:rPr>
        <w:t>We therefore developed the KOTHA (Knowledge-driven Observational-Trial Harmonization Approach)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pPr>
        <w:pStyle w:val="Heading2"/>
      </w:pPr>
      <w:r>
        <w:rPr>
          <w:color w:val="000000"/>
        </w:rPr>
        <w:t>Methods</w:t>
      </w:r>
    </w:p>
    <w:p>
      <w:pPr>
        <w:pStyle w:val="Heading3"/>
      </w:pPr>
      <w:r>
        <w:rPr>
          <w:color w:val="000000"/>
        </w:rPr>
        <w:t>Overview</w:t>
      </w:r>
    </w:p>
    <w:p>
      <w:r>
        <w:rPr>
          <w:rFonts w:ascii="Times New Roman" w:hAnsi="Times New Roman"/>
          <w:b w:val="0"/>
          <w:i w:val="0"/>
          <w:sz w:val="24"/>
        </w:rPr>
        <w:t>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color w:val="000000"/>
        </w:rPr>
        <w:t>Module K: Counterfactual power simulation</w:t>
      </w:r>
    </w:p>
    <w:p>
      <w:r>
        <w:rPr>
          <w:rFonts w:ascii="Times New Roman" w:hAnsi="Times New Roman"/>
          <w:b w:val="0"/>
          <w:i w:val="0"/>
          <w:sz w:val="24"/>
        </w:rPr>
        <w:t>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w:r>
        <w:rPr>
          <w:rFonts w:ascii="Times New Roman" w:hAnsi="Times New Roman"/>
          <w:b w:val="0"/>
          <w:i w:val="0"/>
          <w:sz w:val="24"/>
        </w:rPr>
        <w:t>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w:r>
        <w:rPr>
          <w:rFonts w:ascii="Times New Roman" w:hAnsi="Times New Roman"/>
          <w:b w:val="0"/>
          <w:i w:val="0"/>
          <w:sz w:val="24"/>
        </w:rPr>
        <w:t>For each scenario, we compute the expected control event rate p_c and treatment event rate p_t = (p_c · OR) / (1 - p_c + p_c · OR). The total expected number of events is D = N(p_c + p_t)/2 for a trial of N patients randomized 1:1. Under the Schoenfeld approximation [11], the standard error of the log-OR is approximately 2/√D, yielding the power function</w:t>
      </w:r>
    </w:p>
    <w:p>
      <w:pPr>
        <w:jc w:val="center"/>
      </w:pPr>
      <w:r>
        <w:rPr>
          <w:rFonts w:ascii="Times New Roman" w:hAnsi="Times New Roman"/>
          <w:b w:val="0"/>
          <w:i/>
          <w:sz w:val="24"/>
        </w:rPr>
        <w:t>Power = Φ( |log(OR)| · √D / 2 - z_{α/2} )</w:t>
      </w:r>
    </w:p>
    <w:p>
      <w:r>
        <w:rPr>
          <w:rFonts w:ascii="Times New Roman" w:hAnsi="Times New Roman"/>
          <w:b w:val="0"/>
          <w:i w:val="0"/>
          <w:sz w:val="24"/>
        </w:rPr>
        <w:t>where Φ is the standard normal cumulative distribution function. The ratio ρ = p_c^{(S2)} / p_c^{(S1)} quantifies event dilution. Module K reports power across a grid of assumed true effects and computes the sample size required to reach 80% power under each scenario.</w:t>
      </w:r>
    </w:p>
    <w:p>
      <w:pPr>
        <w:pStyle w:val="Heading3"/>
      </w:pPr>
      <w:r>
        <w:rPr>
          <w:color w:val="000000"/>
        </w:rPr>
        <w:t>Module T: Hierarchical Bayesian evidence integration</w:t>
      </w:r>
    </w:p>
    <w:p>
      <w:r>
        <w:rPr>
          <w:rFonts w:ascii="Times New Roman" w:hAnsi="Times New Roman"/>
          <w:b w:val="0"/>
          <w:i w:val="0"/>
          <w:sz w:val="24"/>
        </w:rPr>
        <w:t>When Module K indicates that RCT evidence is informationally insufficient, Module T combines RCT and observational evidence while explicitly modeling design-specific bias. Let y_i denote the reported log effect size from study i with standard error s_i. The model is y_i ~ Normal(θ_i, s_i²) and θ_i = μ + u_i + b_i, where μ is the overall effect, u_i ~ Normal(0, τ²) captures between-study heterogeneity, and b_i captures design-specific bias. Alternative effect measures such as restricted mean survival time can be substituted when proportional-hazards assumptions are questionable [12-13]. Evidence-based priors have been proposed to anchor historical expectations while limiting prior-data conflict [14]. We use power-prior discounting [15] to down-weight observational evidence by a factor α ∈ [0, 1] and also present bias-adjusted normal-approximation analyses. Posterior distributions are obtained by Metropolis-Hastings MCMC (15,000 post-warmup iterations after 3,000 warmup) for each α in (0, 0.1, 0.2, 0.3, 0.5, 0.7, 1.0).</w:t>
      </w:r>
    </w:p>
    <w:p>
      <w:pPr>
        <w:pStyle w:val="Heading3"/>
      </w:pPr>
      <w:r>
        <w:rPr>
          <w:color w:val="000000"/>
        </w:rPr>
        <w:t>Module H: Guideline interpretation</w:t>
      </w:r>
    </w:p>
    <w:p>
      <w:r>
        <w:rPr>
          <w:rFonts w:ascii="Times New Roman" w:hAnsi="Times New Roman"/>
          <w:b w:val="0"/>
          <w:i w:val="0"/>
          <w:sz w:val="24"/>
        </w:rPr>
        <w:t>Module H maps the outputs of Modules K and T onto the GRADE framework [1]. It includes five assessments (Table 2): information sufficiency (OIS vs observed events), confidence interval interpretation, representativeness (event rate ratio), TSA boundary status, and recommended language. The result is a KOTHA-enhanced certainty rating and recommendation that explicitly distinguishes "evidence of effect," "evidence of no effect," and "no evidence of effect (inconclusive)."</w:t>
      </w:r>
    </w:p>
    <w:p>
      <w:pPr>
        <w:pStyle w:val="Heading3"/>
      </w:pPr>
      <w:r>
        <w:rPr>
          <w:color w:val="000000"/>
        </w:rPr>
        <w:t>Data sources and statistical analysis</w:t>
      </w:r>
    </w:p>
    <w:p>
      <w:r>
        <w:rPr>
          <w:rFonts w:ascii="Times New Roman" w:hAnsi="Times New Roman"/>
          <w:b w:val="0"/>
          <w:i w:val="0"/>
          <w:sz w:val="24"/>
        </w:rPr>
        <w:t>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or &lt; 0.67: indirectness concern</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Results</w:t>
      </w:r>
    </w:p>
    <w:p>
      <w:pPr>
        <w:pStyle w:val="Heading3"/>
      </w:pPr>
      <w:r>
        <w:rPr>
          <w:color w:val="000000"/>
        </w:rPr>
        <w:t>Study-level data and risk-profile shift</w:t>
      </w:r>
    </w:p>
    <w:p>
      <w:r>
        <w:rPr>
          <w:rFonts w:ascii="Times New Roman" w:hAnsi="Times New Roman"/>
          <w:b w:val="0"/>
          <w:i w:val="0"/>
          <w:sz w:val="24"/>
        </w:rPr>
        <w:t>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color w:val="000000"/>
        </w:rPr>
        <w:t>Counterfactual power simulation</w:t>
      </w:r>
    </w:p>
    <w:p>
      <w:r>
        <w:rPr>
          <w:rFonts w:ascii="Times New Roman" w:hAnsi="Times New Roman"/>
          <w:b w:val="0"/>
          <w:i w:val="0"/>
          <w:sz w:val="24"/>
        </w:rPr>
        <w:t>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color w:val="000000"/>
        </w:rPr>
        <w:t>Frequentist meta-analysis and trial sequential analysis</w:t>
      </w:r>
    </w:p>
    <w:p>
      <w:r>
        <w:rPr>
          <w:rFonts w:ascii="Times New Roman" w:hAnsi="Times New Roman"/>
          <w:b w:val="0"/>
          <w:i w:val="0"/>
          <w:sz w:val="24"/>
        </w:rPr>
        <w:t>Random-effects meta-analysis of the 11 pre-ISIS-4 magnesium trials yielded OR = 0.54 (95% CI: 0.40-0.75) with I² = 6%. Adding ISIS-4 changed the pooled estimate to OR = 0.56 (0.38-0.83), but heterogeneity increased to I² = 62% (Fig. 4). TSA under a fixed-effect accumulation produced a final cumulative Z of 0.80, below the conventional boundary of 1.96; under a random-effects accumulation the final Z 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r>
        <w:rPr>
          <w:rFonts w:ascii="Times New Roman" w:hAnsi="Times New Roman"/>
          <w:b w:val="0"/>
          <w:i w:val="0"/>
          <w:sz w:val="24"/>
        </w:rPr>
        <w:t>For statins, observational studies showed a pooled HR of 0.72 (95% CI: 0.64-0.80) with I² = 82%, whereas the two RCTs (CORONA and GISSI-HF) yielded HR = 0.97 (0.90-1.05) with I² =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($\alpha$ = 0.1, 0.3, 0.5).</w:t>
      </w:r>
    </w:p>
    <w:p>
      <w:pPr>
        <w:pStyle w:val="Heading3"/>
      </w:pPr>
      <w:r>
        <w:rPr>
          <w:color w:val="000000"/>
        </w:rPr>
        <w:t>Bayesian integration</w:t>
      </w:r>
    </w:p>
    <w:p>
      <w:r>
        <w:rPr>
          <w:rFonts w:ascii="Times New Roman" w:hAnsi="Times New Roman"/>
          <w:b w:val="0"/>
          <w:i w:val="0"/>
          <w:sz w:val="24"/>
        </w:rPr>
        <w:t>Bayesian integration (Table 5) showed that for magnesium, with α = 0 (ISIS-4 only), the posterior median OR was 1.11 with 30.6% probability of benefit. With α = 0.3 the posterior shifted to OR = 0.73 (95% CrI: 0.28-2.09), with 77% probability of benefit (Fig. 7A). For statins (Table 6), with α = 0 (RCTs only) the posterior probability of benefit was 60.9% and the probability of a clinically meaningful benefit (HR &lt; 0.90) was 17.7%. With α =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16.2%</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27.9%</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45.8%</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56.9%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77.1%</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93.5%</w:t>
            </w:r>
          </w:p>
        </w:tc>
      </w:tr>
    </w:tbl>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9.1%</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17.7%</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26.0%</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32.8%</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42.5%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53.4%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color w:val="000000"/>
        </w:rPr>
        <w:t>Module H assessment</w:t>
      </w:r>
    </w:p>
    <w:p>
      <w:r>
        <w:rPr>
          <w:rFonts w:ascii="Times New Roman" w:hAnsi="Times New Roman"/>
          <w:b w:val="0"/>
          <w:i w:val="0"/>
          <w:sz w:val="24"/>
        </w:rPr>
        <w:t xml:space="preserve">Module H results are summarized in Table 7 and Fig. 8. For magnesium, the OIS for the pre-ISIS-4 effect was 85 events and the observed total was 4,617 (information fraction 5426%). Although the OIS was exceeded, the pooled estimate was dominated by high between-study heterogeneity; the appropriate KOTHA classification is </w:t>
      </w:r>
      <w:r>
        <w:rPr>
          <w:rFonts w:ascii="Times New Roman" w:hAnsi="Times New Roman"/>
          <w:b/>
          <w:i w:val="0"/>
          <w:sz w:val="24"/>
        </w:rPr>
        <w:t>inconclusive with serious imprecision</w:t>
      </w:r>
      <w:r>
        <w:rPr>
          <w:rFonts w:ascii="Times New Roman" w:hAnsi="Times New Roman"/>
          <w:b w:val="0"/>
          <w:i w:val="0"/>
          <w:sz w:val="24"/>
        </w:rPr>
        <w:t xml:space="preserve">. For statins, the OIS for the observational effect was 279 events and the RCTs contributed 1,385 events (information fraction 496%). The cumulative Z was -0.74, the efficacy boundary was not crossed, and the event rate ratio was 0.53; the appropriate classification is </w:t>
      </w:r>
      <w:r>
        <w:rPr>
          <w:rFonts w:ascii="Times New Roman" w:hAnsi="Times New Roman"/>
          <w:b/>
          <w:i w:val="0"/>
          <w:sz w:val="24"/>
        </w:rPr>
        <w:t>inconclusive with serious indirectness</w:t>
      </w:r>
      <w:r>
        <w:rPr>
          <w:rFonts w:ascii="Times New Roman" w:hAnsi="Times New Roman"/>
          <w:b w:val="0"/>
          <w:i w:val="0"/>
          <w:sz w:val="24"/>
        </w:rPr>
        <w:t>. In both cases, standard GRADE would be more likely to conclude "no benefit demonstrated," whereas KOTHA explicitly labels the evidence as informationally insufficient.</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(I² = 62%)</w:t>
            </w:r>
          </w:p>
        </w:tc>
        <w:tc>
          <w:tcPr>
            <w:tcW w:type="dxa" w:w="1872"/>
          </w:tcPr>
          <w:p>
            <w:r/>
            <w:r>
              <w:rPr>
                <w:rFonts w:ascii="Times New Roman" w:hAnsi="Times New Roman"/>
                <w:sz w:val="20"/>
              </w:rPr>
              <w:t>High (I² = 62%)</w:t>
            </w:r>
          </w:p>
        </w:tc>
        <w:tc>
          <w:tcPr>
            <w:tcW w:type="dxa" w:w="1872"/>
          </w:tcPr>
          <w:p>
            <w:r/>
            <w:r>
              <w:rPr>
                <w:rFonts w:ascii="Times New Roman" w:hAnsi="Times New Roman"/>
                <w:sz w:val="20"/>
              </w:rPr>
              <w:t>Low (I² = 0%)</w:t>
            </w:r>
          </w:p>
        </w:tc>
        <w:tc>
          <w:tcPr>
            <w:tcW w:type="dxa" w:w="1872"/>
          </w:tcPr>
          <w:p>
            <w:r/>
            <w:r>
              <w:rPr>
                <w:rFonts w:ascii="Times New Roman" w:hAnsi="Times New Roman"/>
                <w:sz w:val="20"/>
              </w:rPr>
              <w:t>Low (I²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Moderate: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 (heterogeneity-driven)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Very low</w:t>
            </w:r>
          </w:p>
        </w:tc>
        <w:tc>
          <w:tcPr>
            <w:tcW w:type="dxa" w:w="1872"/>
          </w:tcPr>
          <w:p>
            <w:r/>
            <w:r>
              <w:rPr>
                <w:rFonts w:ascii="Times New Roman" w:hAnsi="Times New Roman"/>
                <w:sz w:val="20"/>
              </w:rPr>
              <w:t>Moderate</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integrates counterfactual power simulation, Bayesian evidence synthesis, and structured GRADE interpretation to diagnose structural information loss in RCT meta-analyses. In the magnesium case, Module K identified an 18% temporal decline in control event rates from the pre-thrombolysis era to ISIS-4. The divergence between pre-ISIS-4 and all-trials estimates is better explained by era-dependent treatment effect heterogeneity (I² =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reclassified both cases as inconclusive rather than "no effect."</w:t>
      </w:r>
    </w:p>
    <w:p>
      <w:pPr>
        <w:pStyle w:val="Heading3"/>
      </w:pPr>
      <w:r>
        <w:rPr>
          <w:color w:val="000000"/>
        </w:rPr>
        <w:t>Implications for clinical trial design</w:t>
      </w:r>
    </w:p>
    <w:p>
      <w:r>
        <w:rPr>
          <w:rFonts w:ascii="Times New Roman" w:hAnsi="Times New Roman"/>
          <w:b w:val="0"/>
          <w:i w:val="0"/>
          <w:sz w:val="24"/>
        </w:rPr>
        <w:t>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w:pPr>
        <w:pStyle w:val="ListBullet"/>
      </w:pPr>
      <w:r>
        <w:rPr>
          <w:rFonts w:ascii="Times New Roman" w:hAnsi="Times New Roman"/>
          <w:b/>
          <w:i w:val="0"/>
          <w:sz w:val="24"/>
        </w:rPr>
        <w:t>Sample size</w:t>
      </w:r>
      <w:r>
        <w:rPr>
          <w:rFonts w:ascii="Times New Roman" w:hAnsi="Times New Roman"/>
          <w:b w:val="0"/>
          <w:i w:val="0"/>
          <w:sz w:val="24"/>
        </w:rPr>
        <w:t>: required N can be calculated under S2 and S3 rather than under an assumed event rate that may not materialize.</w:t>
      </w:r>
    </w:p>
    <w:p>
      <w:pPr>
        <w:pStyle w:val="ListBullet"/>
      </w:pPr>
      <w:r>
        <w:rPr>
          <w:rFonts w:ascii="Times New Roman" w:hAnsi="Times New Roman"/>
          <w:b/>
          <w:i w:val="0"/>
          <w:sz w:val="24"/>
        </w:rPr>
        <w:t>Eligibility criteria</w:t>
      </w:r>
      <w:r>
        <w:rPr>
          <w:rFonts w:ascii="Times New Roman" w:hAnsi="Times New Roman"/>
          <w:b w:val="0"/>
          <w:i w:val="0"/>
          <w:sz w:val="24"/>
        </w:rPr>
        <w:t>: the information cost of excluding high-risk subgroups can be quantified and balanced against safety considerations.</w:t>
      </w:r>
    </w:p>
    <w:p>
      <w:pPr>
        <w:pStyle w:val="ListBullet"/>
      </w:pPr>
      <w:r>
        <w:rPr>
          <w:rFonts w:ascii="Times New Roman" w:hAnsi="Times New Roman"/>
          <w:b/>
          <w:i w:val="0"/>
          <w:sz w:val="24"/>
        </w:rPr>
        <w:t>Enrichment thresholds</w:t>
      </w:r>
      <w:r>
        <w:rPr>
          <w:rFonts w:ascii="Times New Roman" w:hAnsi="Times New Roman"/>
          <w:b w:val="0"/>
          <w:i w:val="0"/>
          <w:sz w:val="24"/>
        </w:rPr>
        <w:t>: a minimum proportion of high-risk patients can be prespecified and powered.</w:t>
      </w:r>
    </w:p>
    <w:p>
      <w:pPr>
        <w:pStyle w:val="ListBullet"/>
      </w:pPr>
      <w:r>
        <w:rPr>
          <w:rFonts w:ascii="Times New Roman" w:hAnsi="Times New Roman"/>
          <w:b/>
          <w:i w:val="0"/>
          <w:sz w:val="24"/>
        </w:rPr>
        <w:t>Endpoints and follow-up</w:t>
      </w:r>
      <w:r>
        <w:rPr>
          <w:rFonts w:ascii="Times New Roman" w:hAnsi="Times New Roman"/>
          <w:b w:val="0"/>
          <w:i w:val="0"/>
          <w:sz w:val="24"/>
        </w:rPr>
        <w:t>: when the primary event rate is diluted, composite endpoints or longer follow-up can be evaluated.</w:t>
      </w:r>
    </w:p>
    <w:p>
      <w:r>
        <w:rPr>
          <w:rFonts w:ascii="Times New Roman" w:hAnsi="Times New Roman"/>
          <w:b w:val="0"/>
          <w:i w:val="0"/>
          <w:sz w:val="24"/>
        </w:rPr>
        <w:t>In this way, KOTHA moves the design conversation from "what sample size do we need under the planned effect?" to "what sample size do we need under the event rate we will actually observe in the enrolled population?"</w:t>
      </w:r>
    </w:p>
    <w:p>
      <w:pPr>
        <w:pStyle w:val="Heading3"/>
      </w:pPr>
      <w:r>
        <w:rPr>
          <w:color w:val="000000"/>
        </w:rPr>
        <w:t>Comparison with existing methods</w:t>
      </w:r>
    </w:p>
    <w:p>
      <w:r>
        <w:rPr>
          <w:rFonts w:ascii="Times New Roman" w:hAnsi="Times New Roman"/>
          <w:b w:val="0"/>
          <w:i w:val="0"/>
          <w:sz w:val="24"/>
        </w:rPr>
        <w:t>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color w:val="000000"/>
        </w:rPr>
        <w:t>Strengths and limitations</w:t>
      </w:r>
    </w:p>
    <w:p>
      <w:r>
        <w:rPr>
          <w:rFonts w:ascii="Times New Roman" w:hAnsi="Times New Roman"/>
          <w:b w:val="0"/>
          <w:i w:val="0"/>
          <w:sz w:val="24"/>
        </w:rPr>
        <w:t>The framework is reproducible from published aggregate data, follows the ADEMP reporting structure [10], and is illustrated with real, well-documented cases rather than synthetic examples. The modular design allows each component to be used independently.</w:t>
      </w:r>
    </w:p>
    <w:p>
      <w:r>
        <w:rPr>
          <w:rFonts w:ascii="Times New Roman" w:hAnsi="Times New Roman"/>
          <w:b w:val="0"/>
          <w:i w:val="0"/>
          <w:sz w:val="24"/>
        </w:rPr>
        <w:t>Limitations should be acknowledged. The cases are retrospective applications; prospective validation against trials whose results are not yet known would be stronger. Module T results are sensitive to the discounting parameter α and to assumptions about residual confounding; we present sensitivity analyses but do not claim a single preferred α.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are from published sources and are included in the repository (https://github.com/bougtoir/kotha-rct-decomposition). Python code that reproduces all results, tables, and figures is available in the same repository.</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