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Information Loss</w:t>
      </w:r>
    </w:p>
    <w:p>
      <w:pPr>
        <w:jc w:val="center"/>
      </w:pPr>
      <w:r>
        <w:rPr>
          <w:rFonts w:ascii="Times New Roman" w:hAnsi="Times New Roman"/>
          <w:b/>
          <w:i w:val="0"/>
          <w:sz w:val="28"/>
        </w:rPr>
        <w:t>The KOTHA Framework: A Simulation-Based Approach to Quantifying and Correcting Structural Information Loss in Randomized Controlled Trial Meta-Analyses</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3258</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KOTHA separates structural information loss from residual confounding.</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places RCTs and meta-analyses at the top of the evidence hierarchy, yet when observational and RCT evidence disagree the usual explanation is residual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Both are underused in guideline development, however, and neither directly quantifies the information loss produced by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(Table 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address this gap we developed the Knowledge-driven Observational-Trial Harmonization Approach (KOTHA). The framework has three modules: Module K diagnoses structural information loss through counterfactual power simulation; Module T integrates discordant evidence through hierarchical Bayesian meta-analysis; and Module H translates quantitative findings into a GRADE-compatible evidence assessment. We describe the framework here and illustrate it with two canonical cases of observational-RCT divergence, focusing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pPr>
        <w:pStyle w:val="Heading3"/>
      </w:pPr>
      <w:r>
        <w:rPr>
          <w:rFonts w:ascii="Times New Roman" w:hAnsi="Times New Roman"/>
          <w:b/>
          <w:color w:val="000000"/>
          <w:sz w:val="24"/>
        </w:rPr>
        <w:t>Formal causal model and operating-characteristics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quantify the operating characteristics of the KOTHA evidence combination rule, we specified a transparent data-generating process that mimics the two empirical cases. Let</w:t>
      </w:r>
      <w:r>
        <w:rPr>
          <w:rFonts w:ascii="Times New Roman" w:hAnsi="Times New Roman" w:cs="Times New Roman" w:eastAsia="Times New Roman"/>
          <w:sz w:val="24"/>
          <w:szCs w:val="24"/>
        </w:rPr>
        <w:t xml:space="preserve"> </w:t>
      </w:r>
      <m:oMath>
        <m:sSub>
          <m:e>
            <m:r>
              <m:t>Z</m:t>
            </m:r>
          </m:e>
          <m:sub>
            <m:r>
              <m:t>i</m:t>
            </m:r>
          </m:sub>
        </m:sSub>
        <m:r>
          <m:rPr>
            <m:sty m:val="p"/>
          </m:rPr>
          <m:t>∼</m:t>
        </m:r>
        <m:r>
          <m:rPr>
            <m:nor/>
            <m:sty m:val="p"/>
          </m:rPr>
          <m:t>Logit-Normal</m:t>
        </m:r>
        <m:d>
          <m:dPr>
            <m:begChr m:val="("/>
            <m:endChr m:val=")"/>
            <m:sepChr m:val=""/>
            <m:grow/>
          </m:dPr>
          <m:e>
            <m:sSub>
              <m:e>
                <m:r>
                  <m:t>μ</m:t>
                </m:r>
              </m:e>
              <m:sub>
                <m:r>
                  <m:t>Z</m:t>
                </m:r>
              </m:sub>
            </m:sSub>
            <m:r>
              <m:rPr>
                <m:sty m:val="p"/>
              </m:rPr>
              <m:t>,</m:t>
            </m:r>
            <m:sSubSup>
              <m:e>
                <m:r>
                  <m:t>σ</m:t>
                </m:r>
              </m:e>
              <m:sub>
                <m:r>
                  <m:t>Z</m:t>
                </m:r>
              </m:sub>
              <m:sup>
                <m:r>
                  <m:t>2</m:t>
                </m:r>
              </m:sup>
            </m:sSub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baseline risk of trial</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log-odds scale. The true treatment effect in that population is</w:t>
      </w:r>
      <w:r>
        <w:rPr>
          <w:rFonts w:ascii="Times New Roman" w:hAnsi="Times New Roman" w:cs="Times New Roman" w:eastAsia="Times New Roman"/>
          <w:sz w:val="24"/>
          <w:szCs w:val="24"/>
        </w:rPr>
        <w:t xml:space="preserve"> </w:t>
      </w:r>
      <m:oMath>
        <m:sSub>
          <m:e>
            <m:r>
              <m:rPr>
                <m:nor/>
                <m:sty m:val="p"/>
              </m:rPr>
              <m:t>log OR</m:t>
            </m:r>
          </m:e>
          <m:sub>
            <m:r>
              <m:t>i</m:t>
            </m:r>
          </m:sub>
        </m:sSub>
        <m:r>
          <m:rPr>
            <m:sty m:val="p"/>
          </m:rPr>
          <m:t>=</m:t>
        </m:r>
        <m:sSub>
          <m:e>
            <m:r>
              <m:t>θ</m:t>
            </m:r>
          </m:e>
          <m:sub>
            <m:r>
              <m:t>0</m:t>
            </m:r>
          </m:sub>
        </m:sSub>
        <m:r>
          <m:rPr>
            <m:sty m:val="p"/>
          </m:rPr>
          <m:t>+</m:t>
        </m:r>
        <m:r>
          <m:t>γ</m:t>
        </m:r>
        <m:sSub>
          <m:e>
            <m:r>
              <m:t>Z</m:t>
            </m:r>
          </m:e>
          <m:sub>
            <m:r>
              <m:t>i</m:t>
            </m:r>
          </m:sub>
        </m:sSub>
      </m:oMath>
      <w:r>
        <w:rPr>
          <w:rFonts w:ascii="Times New Roman" w:hAnsi="Times New Roman" w:cs="Times New Roman" w:eastAsia="Times New Roman"/>
          <w:sz w:val="24"/>
          <w:szCs w:val="24"/>
        </w:rPr>
        <w:t xml:space="preserve">, with</w:t>
      </w:r>
      <w:r>
        <w:rPr>
          <w:rFonts w:ascii="Times New Roman" w:hAnsi="Times New Roman" w:cs="Times New Roman" w:eastAsia="Times New Roman"/>
          <w:sz w:val="24"/>
          <w:szCs w:val="24"/>
        </w:rPr>
        <w:t xml:space="preserve"> </w:t>
      </w:r>
      <m:oMath>
        <m:r>
          <m:t>γ</m:t>
        </m:r>
        <m:r>
          <m:rPr>
            <m:sty m:val="p"/>
          </m:rPr>
          <m:t>&lt;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meaning that baseline risk modifies the treatment effect (higher-risk patients experience larger absolute or relative benefit). The target population is all hypothetical RCTs; the enrolled population is a lower-risk subset selected by a quantile threshold on</w:t>
      </w:r>
      <w:r>
        <w:rPr>
          <w:rFonts w:ascii="Times New Roman" w:hAnsi="Times New Roman" w:cs="Times New Roman" w:eastAsia="Times New Roman"/>
          <w:sz w:val="24"/>
          <w:szCs w:val="24"/>
        </w:rPr>
        <w:t xml:space="preserve"> </w:t>
      </w:r>
      <m:oMath>
        <m:sSub>
          <m:e>
            <m:r>
              <m:t>Z</m:t>
            </m:r>
          </m:e>
          <m:sub>
            <m:r>
              <m:t>i</m:t>
            </m:r>
          </m:sub>
        </m:sSub>
      </m:oMath>
      <w:r>
        <w:rPr>
          <w:rFonts w:ascii="Times New Roman" w:hAnsi="Times New Roman" w:cs="Times New Roman" w:eastAsia="Times New Roman"/>
          <w:sz w:val="24"/>
          <w:szCs w:val="24"/>
        </w:rPr>
        <w:t xml:space="preserve">. This is the formal mechanism for structural information loss: the RCT-enrolled meta-analysis estimates the treatment effect in a selected, lower-risk subpopulation rather than the target estimand</w:t>
      </w:r>
      <w:r>
        <w:rPr>
          <w:rFonts w:ascii="Times New Roman" w:hAnsi="Times New Roman" w:cs="Times New Roman" w:eastAsia="Times New Roman"/>
          <w:sz w:val="24"/>
          <w:szCs w:val="24"/>
        </w:rPr>
        <w:t xml:space="preserve"> </w:t>
      </w:r>
      <m:oMath>
        <m:r>
          <m:rPr>
            <m:sty m:val="p"/>
            <m:scr m:val="double-struck"/>
          </m:rPr>
          <m:t>E</m:t>
        </m:r>
        <m:d>
          <m:dPr>
            <m:begChr m:val="["/>
            <m:endChr m:val="]"/>
            <m:sepChr m:val=""/>
            <m:grow/>
          </m:dPr>
          <m:e>
            <m:r>
              <m:rPr>
                <m:nor/>
                <m:sty m:val="p"/>
              </m:rPr>
              <m:t>log OR</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 all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observational source is generated from the same target population but with systematic design-related bias toward spurious benefit,</w:t>
      </w:r>
      <w:r>
        <w:rPr>
          <w:rFonts w:ascii="Times New Roman" w:hAnsi="Times New Roman" w:cs="Times New Roman" w:eastAsia="Times New Roman"/>
          <w:sz w:val="24"/>
          <w:szCs w:val="24"/>
        </w:rPr>
        <w:t xml:space="preserve"> </w:t>
      </w:r>
      <m:oMath>
        <m:r>
          <m:rPr>
            <m:nor/>
            <m:sty m:val="p"/>
          </m:rPr>
          <m:t>E</m:t>
        </m:r>
        <m:d>
          <m:dPr>
            <m:begChr m:val="["/>
            <m:endChr m:val="]"/>
            <m:sepChr m:val=""/>
            <m:grow/>
          </m:dPr>
          <m:e>
            <m:sSub>
              <m:e>
                <m:acc>
                  <m:accPr>
                    <m:chr m:val="̂"/>
                  </m:accPr>
                  <m:e>
                    <m:r>
                      <m:t>θ</m:t>
                    </m:r>
                  </m:e>
                </m:acc>
              </m:e>
              <m:sub>
                <m:r>
                  <m:rPr>
                    <m:nor/>
                    <m:sty m:val="p"/>
                  </m:rPr>
                  <m:t>obs</m:t>
                </m:r>
              </m:sub>
            </m:sSub>
          </m:e>
        </m:d>
        <m:r>
          <m:rPr>
            <m:sty m:val="p"/>
          </m:rPr>
          <m:t>=</m:t>
        </m:r>
        <m:sSub>
          <m:e>
            <m:r>
              <m:t>θ</m:t>
            </m:r>
          </m:e>
          <m:sub>
            <m:r>
              <m:rPr>
                <m:nor/>
                <m:sty m:val="p"/>
              </m:rPr>
              <m:t>true</m:t>
            </m:r>
          </m:sub>
        </m:sSub>
        <m:r>
          <m:rPr>
            <m:sty m:val="p"/>
          </m:rPr>
          <m:t>+</m:t>
        </m:r>
        <m:sSub>
          <m:e>
            <m:r>
              <m:t>β</m:t>
            </m:r>
          </m:e>
          <m:sub>
            <m:r>
              <m:rPr>
                <m:nor/>
                <m:sty m:val="p"/>
              </m:rPr>
              <m:t>obs</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inflated standard errors. The KOTHA combination uses a normal-approximation power-prior,</w:t>
      </w:r>
      <w:r>
        <w:rPr>
          <w:rFonts w:ascii="Times New Roman" w:hAnsi="Times New Roman" w:cs="Times New Roman" w:eastAsia="Times New Roman"/>
          <w:sz w:val="24"/>
          <w:szCs w:val="24"/>
        </w:rPr>
        <w:t xml:space="preserve"> </w:t>
      </w:r>
      <m:oMath>
        <m:r>
          <m:rPr>
            <m:nor/>
            <m:sty m:val="p"/>
          </m:rPr>
          <m:t>log-posterior</m:t>
        </m:r>
        <m:r>
          <m:rPr>
            <m:sty m:val="p"/>
          </m:rPr>
          <m:t>∝</m:t>
        </m:r>
        <m:r>
          <m:t>α</m:t>
        </m:r>
        <m:r>
          <m:rPr>
            <m:sty m:val="p"/>
          </m:rPr>
          <m:t>⋅</m:t>
        </m:r>
        <m:sSub>
          <m:e>
            <m:r>
              <m:rPr>
                <m:nor/>
                <m:sty m:val="p"/>
              </m:rPr>
              <m:t>log-likelihood</m:t>
            </m:r>
          </m:e>
          <m:sub>
            <m:r>
              <m:rPr>
                <m:nor/>
                <m:sty m:val="p"/>
              </m:rPr>
              <m:t>obs</m:t>
            </m:r>
          </m:sub>
        </m:sSub>
        <m:r>
          <m:rPr>
            <m:sty m:val="p"/>
          </m:rPr>
          <m:t>+</m:t>
        </m:r>
        <m:sSub>
          <m:e>
            <m:r>
              <m:rPr>
                <m:nor/>
                <m:sty m:val="p"/>
              </m:rPr>
              <m:t>log-likelihood</m:t>
            </m:r>
          </m:e>
          <m:sub>
            <m:r>
              <m:rPr>
                <m:nor/>
                <m:sty m:val="p"/>
              </m:rPr>
              <m:t>rct</m:t>
            </m:r>
          </m:sub>
        </m:sSub>
        <m:r>
          <m:rPr>
            <m:sty m:val="p"/>
          </m:rPr>
          <m:t>+</m:t>
        </m:r>
        <m:r>
          <m:rPr>
            <m:nor/>
            <m:sty m:val="p"/>
          </m:rPr>
          <m:t>log-prior</m:t>
        </m:r>
        <m:d>
          <m:dPr>
            <m:begChr m:val="("/>
            <m:endChr m:val=")"/>
            <m:sepChr m:val=""/>
            <m:grow/>
          </m:dPr>
          <m:e>
            <m:r>
              <m:t>θ</m:t>
            </m:r>
            <m:r>
              <m:rPr>
                <m:sty m:val="p"/>
              </m:rPr>
              <m:t>,</m:t>
            </m:r>
            <m:sSup>
              <m:e>
                <m:r>
                  <m:t>τ</m:t>
                </m:r>
              </m:e>
              <m:sup>
                <m:r>
                  <m:t>2</m:t>
                </m:r>
              </m:sup>
            </m:sSup>
          </m:e>
        </m:d>
      </m:oMath>
      <w:r>
        <w:rPr>
          <w:rFonts w:ascii="Times New Roman" w:hAnsi="Times New Roman" w:cs="Times New Roman" w:eastAsia="Times New Roman"/>
          <w:sz w:val="24"/>
          <w:szCs w:val="24"/>
        </w:rPr>
        <w:t xml:space="preserve">, and returns the posterior mean as the point estimate. Performance was evaluated by bias, RMSE, 95% credible-interval coverage, and statistical power (posterior probability that OR &lt; 1 exceeds 97.5%) relative to the target estimand. The simulation was run with 500 replications under pre-specified parameters; results are reported using the ADEMP checklist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Fig. 4 shows forest plots for magnesium and statins.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Under fixed-effect accumulation the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Because cumulative information exceeded the optimal information size, this boundary equals the conventional two-sided boundary (Fig. 5).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598661"/>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598661"/>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p>
      <w:pPr>
        <w:jc w:val="center"/>
      </w:pPr>
      <w:r>
        <w:drawing>
          <wp:inline xmlns:a="http://schemas.openxmlformats.org/drawingml/2006/main" xmlns:pic="http://schemas.openxmlformats.org/drawingml/2006/picture">
            <wp:extent cx="5029200" cy="3005429"/>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4"/>
                    <a:stretch>
                      <a:fillRect/>
                    </a:stretch>
                  </pic:blipFill>
                  <pic:spPr>
                    <a:xfrm>
                      <a:off x="0" y="0"/>
                      <a:ext cx="5029200" cy="3005429"/>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3)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(Fig. 6A).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6B). Even with moderate borrowing from observational evidence, conclusions remained uncertain.</w:t>
      </w:r>
    </w:p>
    <w:p>
      <w:r>
        <w:rPr>
          <w:rFonts w:ascii="Times New Roman" w:hAnsi="Times New Roman"/>
          <w:b/>
          <w:i w:val="0"/>
          <w:sz w:val="24"/>
        </w:rPr>
        <w:t>Table 3: Bayesian integration results by case and discounting factor (power prior)</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320"/>
        <w:gridCol w:w="1320"/>
        <w:gridCol w:w="1320"/>
        <w:gridCol w:w="1320"/>
        <w:gridCol w:w="1320"/>
        <w:gridCol w:w="132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Case</w:t>
            </w:r>
          </w:p>
        </w:tc>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OR/HR (95% CrI)</w:t>
            </w:r>
          </w:p>
        </w:tc>
        <w:tc>
          <w:tcPr/>
          <w:p>
            <w:pPr>
              <w:pStyle w:val="Normal"/>
              <w:jc w:val="left"/>
              <w:spacing w:line="240" w:lineRule="auto" w:after="0"/>
            </w:pPr>
            <w:r>
              <w:rPr>
                <w:rFonts w:ascii="Times New Roman" w:hAnsi="Times New Roman" w:cs="Times New Roman" w:eastAsia="Times New Roman"/>
                <w:sz w:val="20"/>
                <w:szCs w:val="20"/>
                <w:b/>
              </w:rPr>
              <w:t xml:space="preserve">P(effect &lt; 1)</w:t>
            </w:r>
          </w:p>
        </w:tc>
        <w:tc>
          <w:tcPr/>
          <w:p>
            <w:pPr>
              <w:pStyle w:val="Normal"/>
              <w:jc w:val="left"/>
              <w:spacing w:line="240" w:lineRule="auto" w:after="0"/>
            </w:pPr>
            <w:r>
              <w:rPr>
                <w:rFonts w:ascii="Times New Roman" w:hAnsi="Times New Roman" w:cs="Times New Roman" w:eastAsia="Times New Roman"/>
                <w:sz w:val="20"/>
                <w:szCs w:val="20"/>
                <w:b/>
              </w:rPr>
              <w:t xml:space="preserve">P(effect &lt; 0.90)</w:t>
            </w:r>
          </w:p>
        </w:tc>
        <w:tc>
          <w:tcPr/>
          <w:p>
            <w:pPr>
              <w:pStyle w:val="Normal"/>
              <w:jc w:val="left"/>
              <w:spacing w:line="240" w:lineRule="auto" w:after="0"/>
            </w:pPr>
            <w:r>
              <w:rPr>
                <w:rFonts w:ascii="Times New Roman" w:hAnsi="Times New Roman" w:cs="Times New Roman" w:eastAsia="Times New Roman"/>
                <w:sz w:val="20"/>
                <w:szCs w:val="20"/>
                <w:b/>
              </w:rPr>
              <w:t xml:space="preserve">P(effect &lt; 0.80)</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OR 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HR 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OR 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HR 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OR 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HR 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OR 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HR 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OR 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HR 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OR 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HR 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OR 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HR 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1328"/>
            <wp:docPr id="6" name="Picture 6"/>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1328"/>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4 and Fig. 7.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4: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jc w:val="center"/>
      </w:pPr>
      <w:r>
        <w:drawing>
          <wp:inline xmlns:a="http://schemas.openxmlformats.org/drawingml/2006/main" xmlns:pic="http://schemas.openxmlformats.org/drawingml/2006/picture">
            <wp:extent cx="5029200" cy="2416071"/>
            <wp:docPr id="7" name="Picture 7"/>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416071"/>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3"/>
      </w:pPr>
      <w:r>
        <w:rPr>
          <w:rFonts w:ascii="Times New Roman" w:hAnsi="Times New Roman"/>
          <w:b/>
          <w:color w:val="000000"/>
          <w:sz w:val="24"/>
        </w:rPr>
        <w:t>Simulation study of operating characteristics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formal causal model produced a controlled setting in which structural information loss could be quantified. Across 500 replications, the target meta-analysis that used all RCTs showed negligible bias (-0.040 log-OR) and the lowest RMSE (0.119) (Fig. 8 and Table 5). The RCT-enrolled-only analysis was biased toward the null (+0.127), had inflated RMSE (0.160), and low power (24.4%), because low-risk enrollment diluted event rates and shifted the estimand. The observational-only estimate was biased in the opposite direction (-0.224) and also had poor coverage.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KOTHA with a fixed power-prior discount of</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reduced the absolute bias by 69% and the RMSE by 37% compared with RCT-enrolled only, and increased power by 63 percentage points. The RMSE-optimal discount was</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0.1; at that value the RMSE reduction was 43% and the power gain was 46 percentage points relative to RCT-enrolled only. These gains came from combining a small amount of observational information while down-weighting its design-related bias.</w:t>
      </w:r>
    </w:p>
    <w:p>
      <w:r>
        <w:rPr>
          <w:rFonts w:ascii="Times New Roman" w:hAnsi="Times New Roman"/>
          <w:b/>
          <w:i w:val="0"/>
          <w:sz w:val="24"/>
        </w:rPr>
        <w:t>Table 5: Operating characteristics of the KOTHA power-prior combination relative to alternative estimators.</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Estimator</w:t>
            </w:r>
          </w:p>
        </w:tc>
        <w:tc>
          <w:tcPr/>
          <w:p>
            <w:pPr>
              <w:pStyle w:val="Normal"/>
              <w:jc w:val="left"/>
              <w:spacing w:line="240" w:lineRule="auto" w:after="0"/>
            </w:pPr>
            <w:r>
              <w:rPr>
                <w:rFonts w:ascii="Times New Roman" w:hAnsi="Times New Roman" w:cs="Times New Roman" w:eastAsia="Times New Roman"/>
                <w:sz w:val="20"/>
                <w:szCs w:val="20"/>
                <w:b/>
              </w:rPr>
              <w:t xml:space="preserve">Bias (log-OR)</w:t>
            </w:r>
          </w:p>
        </w:tc>
        <w:tc>
          <w:tcPr/>
          <w:p>
            <w:pPr>
              <w:pStyle w:val="Normal"/>
              <w:jc w:val="left"/>
              <w:spacing w:line="240" w:lineRule="auto" w:after="0"/>
            </w:pPr>
            <w:r>
              <w:rPr>
                <w:rFonts w:ascii="Times New Roman" w:hAnsi="Times New Roman" w:cs="Times New Roman" w:eastAsia="Times New Roman"/>
                <w:sz w:val="20"/>
                <w:szCs w:val="20"/>
                <w:b/>
              </w:rPr>
              <w:t xml:space="preserve">RMSE (log-OR)</w:t>
            </w:r>
          </w:p>
        </w:tc>
        <w:tc>
          <w:tcPr/>
          <w:p>
            <w:pPr>
              <w:pStyle w:val="Normal"/>
              <w:jc w:val="left"/>
              <w:spacing w:line="240" w:lineRule="auto" w:after="0"/>
            </w:pPr>
            <w:r>
              <w:rPr>
                <w:rFonts w:ascii="Times New Roman" w:hAnsi="Times New Roman" w:cs="Times New Roman" w:eastAsia="Times New Roman"/>
                <w:sz w:val="20"/>
                <w:szCs w:val="20"/>
                <w:b/>
              </w:rPr>
              <w:t xml:space="preserve">95% coverage</w:t>
            </w:r>
          </w:p>
        </w:tc>
        <w:tc>
          <w:tcPr/>
          <w:p>
            <w:pPr>
              <w:pStyle w:val="Normal"/>
              <w:jc w:val="left"/>
              <w:spacing w:line="240" w:lineRule="auto" w:after="0"/>
            </w:pPr>
            <w:r>
              <w:rPr>
                <w:rFonts w:ascii="Times New Roman" w:hAnsi="Times New Roman" w:cs="Times New Roman" w:eastAsia="Times New Roman"/>
                <w:sz w:val="20"/>
                <w:szCs w:val="20"/>
                <w:b/>
              </w:rPr>
              <w:t xml:space="preserve">Power</w:t>
            </w:r>
          </w:p>
        </w:tc>
      </w:tr>
      <w:tr>
        <w:tc>
          <w:tcPr/>
          <w:p>
            <w:pPr>
              <w:pStyle w:val="Normal"/>
              <w:jc w:val="left"/>
              <w:spacing w:line="240" w:lineRule="auto" w:after="0"/>
            </w:pPr>
            <w:r>
              <w:rPr>
                <w:rFonts w:ascii="Times New Roman" w:hAnsi="Times New Roman" w:cs="Times New Roman" w:eastAsia="Times New Roman"/>
                <w:sz w:val="20"/>
                <w:szCs w:val="20"/>
              </w:rPr>
              <w:t xml:space="preserve">Target (all RCTs)</w:t>
            </w:r>
          </w:p>
        </w:tc>
        <w:tc>
          <w:tcPr/>
          <w:p>
            <w:pPr>
              <w:pStyle w:val="Normal"/>
              <w:jc w:val="left"/>
              <w:spacing w:line="240" w:lineRule="auto" w:after="0"/>
            </w:pPr>
            <w:r>
              <w:rPr>
                <w:rFonts w:ascii="Times New Roman" w:hAnsi="Times New Roman" w:cs="Times New Roman" w:eastAsia="Times New Roman"/>
                <w:sz w:val="20"/>
                <w:szCs w:val="20"/>
              </w:rPr>
              <w:t xml:space="preserve">-0.040</w:t>
            </w:r>
          </w:p>
        </w:tc>
        <w:tc>
          <w:tcPr/>
          <w:p>
            <w:pPr>
              <w:pStyle w:val="Normal"/>
              <w:jc w:val="left"/>
              <w:spacing w:line="240" w:lineRule="auto" w:after="0"/>
            </w:pPr>
            <w:r>
              <w:rPr>
                <w:rFonts w:ascii="Times New Roman" w:hAnsi="Times New Roman" w:cs="Times New Roman" w:eastAsia="Times New Roman"/>
                <w:sz w:val="20"/>
                <w:szCs w:val="20"/>
              </w:rPr>
              <w:t xml:space="preserve">0.119</w:t>
            </w:r>
          </w:p>
        </w:tc>
        <w:tc>
          <w:tcPr/>
          <w:p>
            <w:pPr>
              <w:pStyle w:val="Normal"/>
              <w:jc w:val="left"/>
              <w:spacing w:line="240" w:lineRule="auto" w:after="0"/>
            </w:pPr>
            <w:r>
              <w:rPr>
                <w:rFonts w:ascii="Times New Roman" w:hAnsi="Times New Roman" w:cs="Times New Roman" w:eastAsia="Times New Roman"/>
                <w:sz w:val="20"/>
                <w:szCs w:val="20"/>
              </w:rPr>
              <w:t xml:space="preserve">91.2%</w:t>
            </w:r>
          </w:p>
        </w:tc>
        <w:tc>
          <w:tcPr/>
          <w:p>
            <w:pPr>
              <w:pStyle w:val="Normal"/>
              <w:jc w:val="left"/>
              <w:spacing w:line="240" w:lineRule="auto" w:after="0"/>
            </w:pPr>
            <w:r>
              <w:rPr>
                <w:rFonts w:ascii="Times New Roman" w:hAnsi="Times New Roman" w:cs="Times New Roman" w:eastAsia="Times New Roman"/>
                <w:sz w:val="20"/>
                <w:szCs w:val="20"/>
              </w:rPr>
              <w:t xml:space="preserve">67.8%</w:t>
            </w:r>
          </w:p>
        </w:tc>
      </w:tr>
      <w:tr>
        <w:tc>
          <w:tcPr/>
          <w:p>
            <w:pPr>
              <w:pStyle w:val="Normal"/>
              <w:jc w:val="left"/>
              <w:spacing w:line="240" w:lineRule="auto" w:after="0"/>
            </w:pPr>
            <w:r>
              <w:rPr>
                <w:rFonts w:ascii="Times New Roman" w:hAnsi="Times New Roman" w:cs="Times New Roman" w:eastAsia="Times New Roman"/>
                <w:sz w:val="20"/>
                <w:szCs w:val="20"/>
              </w:rPr>
              <w:t xml:space="preserve">RCT-enrolled only</w:t>
            </w:r>
          </w:p>
        </w:tc>
        <w:tc>
          <w:tcPr/>
          <w:p>
            <w:pPr>
              <w:pStyle w:val="Normal"/>
              <w:jc w:val="left"/>
              <w:spacing w:line="240" w:lineRule="auto" w:after="0"/>
            </w:pPr>
            <w:r>
              <w:rPr>
                <w:rFonts w:ascii="Times New Roman" w:hAnsi="Times New Roman" w:cs="Times New Roman" w:eastAsia="Times New Roman"/>
                <w:sz w:val="20"/>
                <w:szCs w:val="20"/>
              </w:rPr>
              <w:t xml:space="preserve">+0.127</w:t>
            </w:r>
          </w:p>
        </w:tc>
        <w:tc>
          <w:tcPr/>
          <w:p>
            <w:pPr>
              <w:pStyle w:val="Normal"/>
              <w:jc w:val="left"/>
              <w:spacing w:line="240" w:lineRule="auto" w:after="0"/>
            </w:pPr>
            <w:r>
              <w:rPr>
                <w:rFonts w:ascii="Times New Roman" w:hAnsi="Times New Roman" w:cs="Times New Roman" w:eastAsia="Times New Roman"/>
                <w:sz w:val="20"/>
                <w:szCs w:val="20"/>
              </w:rPr>
              <w:t xml:space="preserve">0.160</w:t>
            </w:r>
          </w:p>
        </w:tc>
        <w:tc>
          <w:tcPr/>
          <w:p>
            <w:pPr>
              <w:pStyle w:val="Normal"/>
              <w:jc w:val="left"/>
              <w:spacing w:line="240" w:lineRule="auto" w:after="0"/>
            </w:pPr>
            <w:r>
              <w:rPr>
                <w:rFonts w:ascii="Times New Roman" w:hAnsi="Times New Roman" w:cs="Times New Roman" w:eastAsia="Times New Roman"/>
                <w:sz w:val="20"/>
                <w:szCs w:val="20"/>
              </w:rPr>
              <w:t xml:space="preserve">73.6%</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Observational only</w:t>
            </w:r>
          </w:p>
        </w:tc>
        <w:tc>
          <w:tcPr/>
          <w:p>
            <w:pPr>
              <w:pStyle w:val="Normal"/>
              <w:jc w:val="left"/>
              <w:spacing w:line="240" w:lineRule="auto" w:after="0"/>
            </w:pPr>
            <w:r>
              <w:rPr>
                <w:rFonts w:ascii="Times New Roman" w:hAnsi="Times New Roman" w:cs="Times New Roman" w:eastAsia="Times New Roman"/>
                <w:sz w:val="20"/>
                <w:szCs w:val="20"/>
              </w:rPr>
              <w:t xml:space="preserve">-0.224</w:t>
            </w:r>
          </w:p>
        </w:tc>
        <w:tc>
          <w:tcPr/>
          <w:p>
            <w:pPr>
              <w:pStyle w:val="Normal"/>
              <w:jc w:val="left"/>
              <w:spacing w:line="240" w:lineRule="auto" w:after="0"/>
            </w:pPr>
            <w:r>
              <w:rPr>
                <w:rFonts w:ascii="Times New Roman" w:hAnsi="Times New Roman" w:cs="Times New Roman" w:eastAsia="Times New Roman"/>
                <w:sz w:val="20"/>
                <w:szCs w:val="20"/>
              </w:rPr>
              <w:t xml:space="preserve">0.248</w:t>
            </w:r>
          </w:p>
        </w:tc>
        <w:tc>
          <w:tcPr/>
          <w:p>
            <w:pPr>
              <w:pStyle w:val="Normal"/>
              <w:jc w:val="left"/>
              <w:spacing w:line="240" w:lineRule="auto" w:after="0"/>
            </w:pPr>
            <w:r>
              <w:rPr>
                <w:rFonts w:ascii="Times New Roman" w:hAnsi="Times New Roman" w:cs="Times New Roman" w:eastAsia="Times New Roman"/>
                <w:sz w:val="20"/>
                <w:szCs w:val="20"/>
              </w:rPr>
              <w:t xml:space="preserve">45.4%</w:t>
            </w:r>
          </w:p>
        </w:tc>
        <w:tc>
          <w:tcPr/>
          <w:p>
            <w:pPr>
              <w:pStyle w:val="Normal"/>
              <w:jc w:val="left"/>
              <w:spacing w:line="240" w:lineRule="auto" w:after="0"/>
            </w:pPr>
            <w:r>
              <w:rPr>
                <w:rFonts w:ascii="Times New Roman" w:hAnsi="Times New Roman" w:cs="Times New Roman" w:eastAsia="Times New Roman"/>
                <w:sz w:val="20"/>
                <w:szCs w:val="20"/>
              </w:rPr>
              <w:t xml:space="preserve">97.0%</w:t>
            </w:r>
          </w:p>
        </w:tc>
      </w:tr>
      <w:tr>
        <w:tc>
          <w:tcPr/>
          <w:p>
            <w:pPr>
              <w:pStyle w:val="Normal"/>
              <w:jc w:val="left"/>
              <w:spacing w:line="240" w:lineRule="auto" w:after="0"/>
            </w:pPr>
            <w:r>
              <w:rPr>
                <w:rFonts w:ascii="Times New Roman" w:hAnsi="Times New Roman" w:cs="Times New Roman" w:eastAsia="Times New Roman"/>
                <w:sz w:val="20"/>
                <w:szCs w:val="20"/>
              </w:rPr>
              <w:t xml:space="preserve">KOTHA (fixed alpha = 0.3)</w:t>
            </w:r>
          </w:p>
        </w:tc>
        <w:tc>
          <w:tcPr/>
          <w:p>
            <w:pPr>
              <w:pStyle w:val="Normal"/>
              <w:jc w:val="left"/>
              <w:spacing w:line="240" w:lineRule="auto" w:after="0"/>
            </w:pPr>
            <w:r>
              <w:rPr>
                <w:rFonts w:ascii="Times New Roman" w:hAnsi="Times New Roman" w:cs="Times New Roman" w:eastAsia="Times New Roman"/>
                <w:sz w:val="20"/>
                <w:szCs w:val="20"/>
              </w:rPr>
              <w:t xml:space="preserve">-0.039</w:t>
            </w:r>
          </w:p>
        </w:tc>
        <w:tc>
          <w:tcPr/>
          <w:p>
            <w:pPr>
              <w:pStyle w:val="Normal"/>
              <w:jc w:val="left"/>
              <w:spacing w:line="240" w:lineRule="auto" w:after="0"/>
            </w:pPr>
            <w:r>
              <w:rPr>
                <w:rFonts w:ascii="Times New Roman" w:hAnsi="Times New Roman" w:cs="Times New Roman" w:eastAsia="Times New Roman"/>
                <w:sz w:val="20"/>
                <w:szCs w:val="20"/>
              </w:rPr>
              <w:t xml:space="preserve">0.101</w:t>
            </w:r>
          </w:p>
        </w:tc>
        <w:tc>
          <w:tcPr/>
          <w:p>
            <w:pPr>
              <w:pStyle w:val="Normal"/>
              <w:jc w:val="left"/>
              <w:spacing w:line="240" w:lineRule="auto" w:after="0"/>
            </w:pPr>
            <w:r>
              <w:rPr>
                <w:rFonts w:ascii="Times New Roman" w:hAnsi="Times New Roman" w:cs="Times New Roman" w:eastAsia="Times New Roman"/>
                <w:sz w:val="20"/>
                <w:szCs w:val="20"/>
              </w:rPr>
              <w:t xml:space="preserve">85.2%</w:t>
            </w:r>
          </w:p>
        </w:tc>
        <w:tc>
          <w:tcPr/>
          <w:p>
            <w:pPr>
              <w:pStyle w:val="Normal"/>
              <w:jc w:val="left"/>
              <w:spacing w:line="240" w:lineRule="auto" w:after="0"/>
            </w:pPr>
            <w:r>
              <w:rPr>
                <w:rFonts w:ascii="Times New Roman" w:hAnsi="Times New Roman" w:cs="Times New Roman" w:eastAsia="Times New Roman"/>
                <w:sz w:val="20"/>
                <w:szCs w:val="20"/>
              </w:rPr>
              <w:t xml:space="preserve">87.2%</w:t>
            </w:r>
          </w:p>
        </w:tc>
      </w:tr>
      <w:tr>
        <w:tc>
          <w:tcPr/>
          <w:p>
            <w:pPr>
              <w:pStyle w:val="Normal"/>
              <w:jc w:val="left"/>
              <w:spacing w:line="240" w:lineRule="auto" w:after="0"/>
            </w:pPr>
            <w:r>
              <w:rPr>
                <w:rFonts w:ascii="Times New Roman" w:hAnsi="Times New Roman" w:cs="Times New Roman" w:eastAsia="Times New Roman"/>
                <w:sz w:val="20"/>
                <w:szCs w:val="20"/>
              </w:rPr>
              <w:t xml:space="preserve">KOTHA (RMSE-optimal alpha = 0.1)</w:t>
            </w:r>
          </w:p>
        </w:tc>
        <w:tc>
          <w:tcPr/>
          <w:p>
            <w:pPr>
              <w:pStyle w:val="Normal"/>
              <w:jc w:val="left"/>
              <w:spacing w:line="240" w:lineRule="auto" w:after="0"/>
            </w:pPr>
            <w:r>
              <w:rPr>
                <w:rFonts w:ascii="Times New Roman" w:hAnsi="Times New Roman" w:cs="Times New Roman" w:eastAsia="Times New Roman"/>
                <w:sz w:val="20"/>
                <w:szCs w:val="20"/>
              </w:rPr>
              <w:t xml:space="preserve">+0.024</w:t>
            </w:r>
          </w:p>
        </w:tc>
        <w:tc>
          <w:tcPr/>
          <w:p>
            <w:pPr>
              <w:pStyle w:val="Normal"/>
              <w:jc w:val="left"/>
              <w:spacing w:line="240" w:lineRule="auto" w:after="0"/>
            </w:pPr>
            <w:r>
              <w:rPr>
                <w:rFonts w:ascii="Times New Roman" w:hAnsi="Times New Roman" w:cs="Times New Roman" w:eastAsia="Times New Roman"/>
                <w:sz w:val="20"/>
                <w:szCs w:val="20"/>
              </w:rPr>
              <w:t xml:space="preserve">0.092</w:t>
            </w:r>
          </w:p>
        </w:tc>
        <w:tc>
          <w:tcPr/>
          <w:p>
            <w:pPr>
              <w:pStyle w:val="Normal"/>
              <w:jc w:val="left"/>
              <w:spacing w:line="240" w:lineRule="auto" w:after="0"/>
            </w:pPr>
            <w:r>
              <w:rPr>
                <w:rFonts w:ascii="Times New Roman" w:hAnsi="Times New Roman" w:cs="Times New Roman" w:eastAsia="Times New Roman"/>
                <w:sz w:val="20"/>
                <w:szCs w:val="20"/>
              </w:rPr>
              <w:t xml:space="preserve">89.8%</w:t>
            </w:r>
          </w:p>
        </w:tc>
        <w:tc>
          <w:tcPr/>
          <w:p>
            <w:pPr>
              <w:pStyle w:val="Normal"/>
              <w:jc w:val="left"/>
              <w:spacing w:line="240" w:lineRule="auto" w:after="0"/>
            </w:pPr>
            <w:r>
              <w:rPr>
                <w:rFonts w:ascii="Times New Roman" w:hAnsi="Times New Roman" w:cs="Times New Roman" w:eastAsia="Times New Roman"/>
                <w:sz w:val="20"/>
                <w:szCs w:val="20"/>
              </w:rPr>
              <w:t xml:space="preserve">70.0%</w:t>
            </w:r>
          </w:p>
        </w:tc>
      </w:tr>
    </w:tbl>
    <w:p>
      <w:pPr>
        <w:jc w:val="center"/>
      </w:pPr>
      <w:r>
        <w:drawing>
          <wp:inline xmlns:a="http://schemas.openxmlformats.org/drawingml/2006/main" xmlns:pic="http://schemas.openxmlformats.org/drawingml/2006/picture">
            <wp:extent cx="5029200" cy="3856528"/>
            <wp:docPr id="8" name="Picture 8"/>
            <wp:cNvGraphicFramePr>
              <a:graphicFrameLocks noChangeAspect="1"/>
            </wp:cNvGraphicFramePr>
            <a:graphic>
              <a:graphicData uri="http://schemas.openxmlformats.org/drawingml/2006/picture">
                <pic:pic>
                  <pic:nvPicPr>
                    <pic:cNvPr id="0" name="fig_simulation_operating_characteristics.png"/>
                    <pic:cNvPicPr/>
                  </pic:nvPicPr>
                  <pic:blipFill>
                    <a:blip r:embed="rId17"/>
                    <a:stretch>
                      <a:fillRect/>
                    </a:stretch>
                  </pic:blipFill>
                  <pic:spPr>
                    <a:xfrm>
                      <a:off x="0" y="0"/>
                      <a:ext cx="5029200" cy="3856528"/>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Operating characteristics of the simulation study. (A) Bias and RMSE for the target, RCT-enrolled-only, observational-only, fixed KOTHA (alpha = 0.3), and RMSE-optimal KOTHA estimators. (B) Coverage and power. Error bars in A show RMSE around the bias estimate; coverage and power are empirical proportions across replications.</w:t>
      </w:r>
    </w:p>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an 18% relative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showed that even modest borrowing from observational evidence materially raised the posterior probability of benefit, yet the evidence remained uncertain. Module H classified magnesium as inconclusive with serious inconsistency (heterogeneity), and statins as inconclusive with serious indirectness, rather than "evidence of no effect."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simulation study formalizes the mechanism behind these empirical patterns. Under a transparent generative model with risk-dependent treatment effects and selective low-risk enrollment, the RCT-enrolled-only meta-analysis was biased toward the null and underpowered, while the observational-only estimate was biased toward spurious benefit. KOTHA with a fixed discount of</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reduced RMSE by 37% and increased power by 63 percentage points compared with RCT-enrolled-only analysis. These gains show that the power-prior combination rule can improve operating characteristics when observational data contain information about the target population that RCT enrollment discards, provided the observational likelihood is appropriately down-weighted.</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This reframes the design question: instead of asking what sample size is needed under a hypothesized effect, the trialist asks what sample size is needed given the event rate that the enrolled population will actually display.</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The operating-characteristics simulation is fully transparent---parameters, generative process, and metrics are reported explicitly---and it confirms that the power-prior combination rule can improve estimation and power under the specified structural information loss.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operating-characteristics simulation is intentionally stylized: it uses a single data-generating model with risk-dependent effects, one selection mechanism, and normal-approximation power priors. It demonstrates that KOTHA can improve operating characteristics under transparent assumptions, but it does not establish general optimality of any fixed discounting factor.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