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Tables</w:t>
      </w:r>
    </w:p>
    <w:p/>
    <w:p>
      <w:r>
        <w:rPr>
          <w:rFonts w:ascii="Times New Roman" w:hAnsi="Times New Roman"/>
          <w:b/>
          <w:sz w:val="24"/>
        </w:rPr>
        <w:t>Supplementary Table S1: Study-level data for magnesium in AMI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Study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Era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Events (Mg)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N (Mg)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Events (Ctrl)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N (Ctrl)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Control rate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Morton 1984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5.6%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Rasmussen 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11.4%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Smith 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3.5%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Abraham 1987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2.2%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Ceremuzynski 1989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13.0%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Shechter 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17.0%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Singh 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29.7%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Feldstedt 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Transition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7.0%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Schechter 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Transition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3.5%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LIMIT-2 1992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1,159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118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1,157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10.2%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Shechter 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15.7%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ISIS-4 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2216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29,011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2103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29,039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7.2%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Supplementary Table S2: Study-level data for statins in heart failure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Study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Design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HR (95% CI)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Events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Mozaffarian 2004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0.62 (0.49--0.78)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1,153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356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Horwich 2004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0.59 (0.44--0.78)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551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189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Go 2006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0.69 (0.63--0.75)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24,598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5,765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Foody 2006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0.82 (0.79--0.85)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54,960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16,573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Anker 2006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0.75 (0.66--0.85)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10,510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2,890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CORONA 2007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RCT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0.95 (0.86--1.05)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5,011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728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GISSI-HF 2008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RCT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1.00 (0.90--1.12)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4,574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657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Supplementary Table S3: Existing approaches to mitigate event dilution in RCTs</w:t>
      </w:r>
    </w:p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Approach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Mechanism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Adoption level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Stratified randomization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Risk-based stratification of randomization and analysis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Common for basic strata; rare for event-rate-driven strata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Prognostic enrichment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Intentional enrollment of high-risk patients to increase event rates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Endorsed by FDA and EMA guidance; limited in non-drug trials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Event-driven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Continue enrollment/follow-up until target event count is reached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Common in cardiology and oncology; rare in other specialties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Adaptive sample size re-estimation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Mid-trial re-estimation of required sample size based on observed event rates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Statistically powerful; regulatory complexity limits adoption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External data-informed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Use retrospective data to quantify expected event loss and adjust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Ideal but very rare in practice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Pragmatic / registry-based trials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Broad eligibility, minimal exclusions, real-world enrollment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Growing (e.g., REMAP-CAP, RECOVERY) but not yet standard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Supplementary Table S4: Module H assessment checklist mapped to GRADE domains</w:t>
      </w:r>
    </w:p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Module H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GRADE domain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Analytical tool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Decision criterion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Information sufficiency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OIS calculation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Total events &lt; OIS: informationally insufficient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CI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CI inspection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CI spans benefit through null: inconclusive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Representativeness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Indirectness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Module K event rate ratio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&lt; 0.67 or &gt; 1.50: serious; &lt; 0.80 or &gt; 1.25: moderate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TSA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Sequential monitoring boundaries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Boundaries not crossed: interim analysis equivalent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Recommendation language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Overall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Standardized templates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Tailored to information sufficiency classification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Supplementary Table S5: Module H assessment --- Standard GRADE vs. KOTHA-enhanced</w:t>
      </w:r>
    </w:p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GRADE domain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Standard (Mg in AMI)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KOTHA (Mg in AMI)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Standard (Statins HF)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KOTHA (Statins HF)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Risk of bias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Low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Inconsistency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High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= 62%)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High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= 62%)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Low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= 0%)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Low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= 0%)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Indirectness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Not assessed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Low: event rate decreased by 18%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Not assessed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Serious: event rate decreased by 49%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Not serious (OIS met)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Not serious (OIS met, CI excludes null)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Not serious (OIS met, CI excludes clinically important benefit)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Not serious (OIS met, CI excludes clinically important benefit)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Overall certainty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High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Low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Recommendation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"No benefit demonstrated"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"Inconclusive; conditional recommendation"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"No benefit demonstrated"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"Inconclusive; conditional recommendation"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-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