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Case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OR/HR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1.05 (0.03–27.97)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33.4%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0.97 (0.58–1.65)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62.9%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0.93 (0.15–2.92)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0.92 (0.53–1.64)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0.83 (0.22–1.75)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0.89 (0.53–1.41)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0.74 (0.25–1.43)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0.85 (0.55–1.24)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0.63 (0.28–1.10)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76.3%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0.82 (0.59–1.10)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0.59 (0.29–0.98)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0.80 (0.62–1.00)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0.55 (0.32–0.87)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0.78 (0.64–0.93)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63.3%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