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r>
        <w:rPr>
          <w:rFonts w:ascii="Times New Roman" w:hAnsi="Times New Roman"/>
          <w:b w:val="0"/>
          <w:i w:val="0"/>
          <w:sz w:val="24"/>
        </w:rPr>
        <w:t>Word count: 2254</w:t>
      </w:r>
    </w:p>
    <w:p>
      <w:r>
        <w:rPr>
          <w:rFonts w:ascii="Times New Roman" w:hAnsi="Times New Roman"/>
          <w:b w:val="0"/>
          <w:i w:val="0"/>
          <w:sz w:val="24"/>
        </w:rPr>
        <w:t>Corresponding author: [To be determined]</w:t>
      </w:r>
    </w:p>
    <w:p>
      <w:r>
        <w:rPr>
          <w:rFonts w:ascii="Times New Roman" w:hAnsi="Times New Roman"/>
          <w:b w:val="0"/>
          <w:i/>
          <w:sz w:val="24"/>
        </w:rPr>
        <w:t>Prepared for submission to Contemporary Clinical Trials Communications</w:t>
      </w:r>
    </w:p>
    <w:p>
      <w:r>
        <w:br w:type="page"/>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w:t>
      </w:r>
      <w:r>
        <w:rPr>
          <w:rFonts w:ascii="Times New Roman" w:hAnsi="Times New Roman" w:cs="Times New Roman" w:eastAsia="Times New Roman"/>
          <w:sz w:val="24"/>
          <w:szCs w:val="24"/>
        </w:rPr>
        <w:t xml:space="preserve">: Evidence-based medicine ranks RCTs and meta-analyses highest, yet observational-RCT discordance is usually attributed to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(Counterfactual Power Simulation) quantifies how enrollment-driven risk-profile shifts alter statistical power. Module T (Bayesian Evidence Integration) combines RCT and observational evidence using power-prior discounting. Module H (Guideline Interpreter) translates outputs into a structured GRADE-compatible assessment. We illustrated KOTHA using two cases of observational-RCT divergence: intravenous magnesium in acute myocardial infarction (12 trials, 1984-1995) and statins in heart failure (5 observational studies, 2 RCTs).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HR was 0.72 (0.64-0.80) versus RCT HR 0.97 (0.90-1.05), with an RCT-to-observational event rate ratio of 0.53. Bayesian integration with moderate discounting (α = 0.3) yielded OR 0.73 (95% CrI: 0.28-2.09), P(OR &lt; 1) = 77% for magnesium, and HR 0.85 (0.59-1.57), P(HR &lt; 1) = 84% for statins.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counterfactual simulation, Bayesian evidence synthesis, power analysis, GRADE, magnesium, statins, heart failure</w:t>
      </w:r>
    </w:p>
    <w:p>
      <w:pPr>
        <w:pStyle w:val="Heading2"/>
      </w:pPr>
      <w:r>
        <w:rPr>
          <w:rFonts w:ascii="Times New Roman" w:hAnsi="Times New Roman"/>
          <w:b/>
          <w:color w:val="000000"/>
          <w:sz w:val="24"/>
        </w:rPr>
        <w:t>Abbreviations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3960"/>
        <w:gridCol w:w="396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Abbreviation</w:t>
            </w:r>
          </w:p>
        </w:tc>
        <w:tc>
          <w:tcPr/>
          <w:p>
            <w:pPr>
              <w:pStyle w:val="Normal"/>
              <w:jc w:val="left"/>
              <w:spacing w:line="240" w:lineRule="auto" w:after="0"/>
            </w:pPr>
            <w:r>
              <w:rPr>
                <w:rFonts w:ascii="Times New Roman" w:hAnsi="Times New Roman" w:cs="Times New Roman" w:eastAsia="Times New Roman"/>
                <w:sz w:val="20"/>
                <w:szCs w:val="20"/>
                <w:b/>
              </w:rPr>
              <w:t xml:space="preserve">Definition</w:t>
            </w:r>
          </w:p>
        </w:tc>
      </w:tr>
      <w:tr>
        <w:tc>
          <w:tcPr/>
          <w:p>
            <w:pPr>
              <w:pStyle w:val="Normal"/>
              <w:jc w:val="left"/>
              <w:spacing w:line="240" w:lineRule="auto" w:after="0"/>
            </w:pPr>
            <w:r>
              <w:rPr>
                <w:rFonts w:ascii="Times New Roman" w:hAnsi="Times New Roman" w:cs="Times New Roman" w:eastAsia="Times New Roman"/>
                <w:sz w:val="20"/>
                <w:szCs w:val="20"/>
              </w:rPr>
              <w:t xml:space="preserve">ADEMP</w:t>
            </w:r>
          </w:p>
        </w:tc>
        <w:tc>
          <w:tcPr/>
          <w:p>
            <w:pPr>
              <w:pStyle w:val="Normal"/>
              <w:jc w:val="left"/>
              <w:spacing w:line="240" w:lineRule="auto" w:after="0"/>
            </w:pPr>
            <w:r>
              <w:rPr>
                <w:rFonts w:ascii="Times New Roman" w:hAnsi="Times New Roman" w:cs="Times New Roman" w:eastAsia="Times New Roman"/>
                <w:sz w:val="20"/>
                <w:szCs w:val="20"/>
              </w:rPr>
              <w:t xml:space="preserve">Aims, Data-generating mechanisms, Estimands, Methods, Performance measures</w:t>
            </w:r>
          </w:p>
        </w:tc>
      </w:tr>
      <w:tr>
        <w:tc>
          <w:tcPr/>
          <w:p>
            <w:pPr>
              <w:pStyle w:val="Normal"/>
              <w:jc w:val="left"/>
              <w:spacing w:line="240" w:lineRule="auto" w:after="0"/>
            </w:pPr>
            <w:r>
              <w:rPr>
                <w:rFonts w:ascii="Times New Roman" w:hAnsi="Times New Roman" w:cs="Times New Roman" w:eastAsia="Times New Roman"/>
                <w:sz w:val="20"/>
                <w:szCs w:val="20"/>
              </w:rPr>
              <w:t xml:space="preserve">AMI</w:t>
            </w:r>
          </w:p>
        </w:tc>
        <w:tc>
          <w:tcPr/>
          <w:p>
            <w:pPr>
              <w:pStyle w:val="Normal"/>
              <w:jc w:val="left"/>
              <w:spacing w:line="240" w:lineRule="auto" w:after="0"/>
            </w:pPr>
            <w:r>
              <w:rPr>
                <w:rFonts w:ascii="Times New Roman" w:hAnsi="Times New Roman" w:cs="Times New Roman" w:eastAsia="Times New Roman"/>
                <w:sz w:val="20"/>
                <w:szCs w:val="20"/>
              </w:rPr>
              <w:t xml:space="preserve">Acute myocardial infarction</w:t>
            </w:r>
          </w:p>
        </w:tc>
      </w:tr>
      <w:tr>
        <w:tc>
          <w:tcPr/>
          <w:p>
            <w:pPr>
              <w:pStyle w:val="Normal"/>
              <w:jc w:val="left"/>
              <w:spacing w:line="240" w:lineRule="auto" w:after="0"/>
            </w:pPr>
            <w:r>
              <w:rPr>
                <w:rFonts w:ascii="Times New Roman" w:hAnsi="Times New Roman" w:cs="Times New Roman" w:eastAsia="Times New Roman"/>
                <w:sz w:val="20"/>
                <w:szCs w:val="20"/>
              </w:rPr>
              <w:t xml:space="preserve">CrI</w:t>
            </w:r>
          </w:p>
        </w:tc>
        <w:tc>
          <w:tcPr/>
          <w:p>
            <w:pPr>
              <w:pStyle w:val="Normal"/>
              <w:jc w:val="left"/>
              <w:spacing w:line="240" w:lineRule="auto" w:after="0"/>
            </w:pPr>
            <w:r>
              <w:rPr>
                <w:rFonts w:ascii="Times New Roman" w:hAnsi="Times New Roman" w:cs="Times New Roman" w:eastAsia="Times New Roman"/>
                <w:sz w:val="20"/>
                <w:szCs w:val="20"/>
              </w:rPr>
              <w:t xml:space="preserve">Credible interval</w:t>
            </w:r>
          </w:p>
        </w:tc>
      </w:tr>
      <w:tr>
        <w:tc>
          <w:tcPr/>
          <w:p>
            <w:pPr>
              <w:pStyle w:val="Normal"/>
              <w:jc w:val="left"/>
              <w:spacing w:line="240" w:lineRule="auto" w:after="0"/>
            </w:pPr>
            <w:r>
              <w:rPr>
                <w:rFonts w:ascii="Times New Roman" w:hAnsi="Times New Roman" w:cs="Times New Roman" w:eastAsia="Times New Roman"/>
                <w:sz w:val="20"/>
                <w:szCs w:val="20"/>
              </w:rPr>
              <w:t xml:space="preserve">CI</w:t>
            </w:r>
          </w:p>
        </w:tc>
        <w:tc>
          <w:tcPr/>
          <w:p>
            <w:pPr>
              <w:pStyle w:val="Normal"/>
              <w:jc w:val="left"/>
              <w:spacing w:line="240" w:lineRule="auto" w:after="0"/>
            </w:pPr>
            <w:r>
              <w:rPr>
                <w:rFonts w:ascii="Times New Roman" w:hAnsi="Times New Roman" w:cs="Times New Roman" w:eastAsia="Times New Roman"/>
                <w:sz w:val="20"/>
                <w:szCs w:val="20"/>
              </w:rPr>
              <w:t xml:space="preserve">Confidence interval</w:t>
            </w:r>
          </w:p>
        </w:tc>
      </w:tr>
      <w:tr>
        <w:tc>
          <w:tcPr/>
          <w:p>
            <w:pPr>
              <w:pStyle w:val="Normal"/>
              <w:jc w:val="left"/>
              <w:spacing w:line="240" w:lineRule="auto" w:after="0"/>
            </w:pPr>
            <w:r>
              <w:rPr>
                <w:rFonts w:ascii="Times New Roman" w:hAnsi="Times New Roman" w:cs="Times New Roman" w:eastAsia="Times New Roman"/>
                <w:sz w:val="20"/>
                <w:szCs w:val="20"/>
              </w:rPr>
              <w:t xml:space="preserve">GRADE</w:t>
            </w:r>
          </w:p>
        </w:tc>
        <w:tc>
          <w:tcPr/>
          <w:p>
            <w:pPr>
              <w:pStyle w:val="Normal"/>
              <w:jc w:val="left"/>
              <w:spacing w:line="240" w:lineRule="auto" w:after="0"/>
            </w:pPr>
            <w:r>
              <w:rPr>
                <w:rFonts w:ascii="Times New Roman" w:hAnsi="Times New Roman" w:cs="Times New Roman" w:eastAsia="Times New Roman"/>
                <w:sz w:val="20"/>
                <w:szCs w:val="20"/>
              </w:rPr>
              <w:t xml:space="preserve">Grading of Recommendations Assessment, Development and Evaluation</w:t>
            </w:r>
          </w:p>
        </w:tc>
      </w:tr>
      <w:tr>
        <w:tc>
          <w:tcPr/>
          <w:p>
            <w:pPr>
              <w:pStyle w:val="Normal"/>
              <w:jc w:val="left"/>
              <w:spacing w:line="240" w:lineRule="auto" w:after="0"/>
            </w:pPr>
            <w:r>
              <w:rPr>
                <w:rFonts w:ascii="Times New Roman" w:hAnsi="Times New Roman" w:cs="Times New Roman" w:eastAsia="Times New Roman"/>
                <w:sz w:val="20"/>
                <w:szCs w:val="20"/>
              </w:rPr>
              <w:t xml:space="preserve">HF</w:t>
            </w:r>
          </w:p>
        </w:tc>
        <w:tc>
          <w:tcPr/>
          <w:p>
            <w:pPr>
              <w:pStyle w:val="Normal"/>
              <w:jc w:val="left"/>
              <w:spacing w:line="240" w:lineRule="auto" w:after="0"/>
            </w:pPr>
            <w:r>
              <w:rPr>
                <w:rFonts w:ascii="Times New Roman" w:hAnsi="Times New Roman" w:cs="Times New Roman" w:eastAsia="Times New Roman"/>
                <w:sz w:val="20"/>
                <w:szCs w:val="20"/>
              </w:rPr>
              <w:t xml:space="preserve">Heart failure</w:t>
            </w:r>
          </w:p>
        </w:tc>
      </w:tr>
      <w:tr>
        <w:tc>
          <w:tcPr/>
          <w:p>
            <w:pPr>
              <w:pStyle w:val="Normal"/>
              <w:jc w:val="left"/>
              <w:spacing w:line="240" w:lineRule="auto" w:after="0"/>
            </w:pPr>
            <w:r>
              <w:rPr>
                <w:rFonts w:ascii="Times New Roman" w:hAnsi="Times New Roman" w:cs="Times New Roman" w:eastAsia="Times New Roman"/>
                <w:sz w:val="20"/>
                <w:szCs w:val="20"/>
              </w:rPr>
              <w:t xml:space="preserve">HR</w:t>
            </w:r>
          </w:p>
        </w:tc>
        <w:tc>
          <w:tcPr/>
          <w:p>
            <w:pPr>
              <w:pStyle w:val="Normal"/>
              <w:jc w:val="left"/>
              <w:spacing w:line="240" w:lineRule="auto" w:after="0"/>
            </w:pPr>
            <w:r>
              <w:rPr>
                <w:rFonts w:ascii="Times New Roman" w:hAnsi="Times New Roman" w:cs="Times New Roman" w:eastAsia="Times New Roman"/>
                <w:sz w:val="20"/>
                <w:szCs w:val="20"/>
              </w:rPr>
              <w:t xml:space="preserve">Hazard ratio</w:t>
            </w:r>
          </w:p>
        </w:tc>
      </w:tr>
      <w:tr>
        <w:tc>
          <w:tcPr/>
          <w:p>
            <w:pPr>
              <w:pStyle w:val="Normal"/>
              <w:jc w:val="left"/>
              <w:spacing w:line="240" w:lineRule="auto" w:after="0"/>
            </w:pPr>
            <w:r>
              <w:rPr>
                <w:rFonts w:ascii="Times New Roman" w:hAnsi="Times New Roman" w:cs="Times New Roman" w:eastAsia="Times New Roman"/>
                <w:sz w:val="20"/>
                <w:szCs w:val="20"/>
              </w:rPr>
              <w:t xml:space="preserve">KOTHA</w:t>
            </w:r>
          </w:p>
        </w:tc>
        <w:tc>
          <w:tcPr/>
          <w:p>
            <w:pPr>
              <w:pStyle w:val="Normal"/>
              <w:jc w:val="left"/>
              <w:spacing w:line="240" w:lineRule="auto" w:after="0"/>
            </w:pPr>
            <w:r>
              <w:rPr>
                <w:rFonts w:ascii="Times New Roman" w:hAnsi="Times New Roman" w:cs="Times New Roman" w:eastAsia="Times New Roman"/>
                <w:sz w:val="20"/>
                <w:szCs w:val="20"/>
              </w:rPr>
              <w:t xml:space="preserve">Knowledge-driven Observational-Trial Harmonization Approach</w:t>
            </w:r>
          </w:p>
        </w:tc>
      </w:tr>
      <w:tr>
        <w:tc>
          <w:tcPr/>
          <w:p>
            <w:pPr>
              <w:pStyle w:val="Normal"/>
              <w:jc w:val="left"/>
              <w:spacing w:line="240" w:lineRule="auto" w:after="0"/>
            </w:pPr>
            <w:r>
              <w:rPr>
                <w:rFonts w:ascii="Times New Roman" w:hAnsi="Times New Roman" w:cs="Times New Roman" w:eastAsia="Times New Roman"/>
                <w:sz w:val="20"/>
                <w:szCs w:val="20"/>
              </w:rPr>
              <w:t xml:space="preserve">MCMC</w:t>
            </w:r>
          </w:p>
        </w:tc>
        <w:tc>
          <w:tcPr/>
          <w:p>
            <w:pPr>
              <w:pStyle w:val="Normal"/>
              <w:jc w:val="left"/>
              <w:spacing w:line="240" w:lineRule="auto" w:after="0"/>
            </w:pPr>
            <w:r>
              <w:rPr>
                <w:rFonts w:ascii="Times New Roman" w:hAnsi="Times New Roman" w:cs="Times New Roman" w:eastAsia="Times New Roman"/>
                <w:sz w:val="20"/>
                <w:szCs w:val="20"/>
              </w:rPr>
              <w:t xml:space="preserve">Markov chain Monte Carlo</w:t>
            </w:r>
          </w:p>
        </w:tc>
      </w:tr>
      <w:tr>
        <w:tc>
          <w:tcPr/>
          <w:p>
            <w:pPr>
              <w:pStyle w:val="Normal"/>
              <w:jc w:val="left"/>
              <w:spacing w:line="240" w:lineRule="auto" w:after="0"/>
            </w:pPr>
            <w:r>
              <w:rPr>
                <w:rFonts w:ascii="Times New Roman" w:hAnsi="Times New Roman" w:cs="Times New Roman" w:eastAsia="Times New Roman"/>
                <w:sz w:val="20"/>
                <w:szCs w:val="20"/>
              </w:rPr>
              <w:t xml:space="preserve">OIS</w:t>
            </w:r>
          </w:p>
        </w:tc>
        <w:tc>
          <w:tcPr/>
          <w:p>
            <w:pPr>
              <w:pStyle w:val="Normal"/>
              <w:jc w:val="left"/>
              <w:spacing w:line="240" w:lineRule="auto" w:after="0"/>
            </w:pPr>
            <w:r>
              <w:rPr>
                <w:rFonts w:ascii="Times New Roman" w:hAnsi="Times New Roman" w:cs="Times New Roman" w:eastAsia="Times New Roman"/>
                <w:sz w:val="20"/>
                <w:szCs w:val="20"/>
              </w:rPr>
              <w:t xml:space="preserve">Optimal information size</w:t>
            </w:r>
          </w:p>
        </w:tc>
      </w:tr>
      <w:tr>
        <w:tc>
          <w:tcPr/>
          <w:p>
            <w:pPr>
              <w:pStyle w:val="Normal"/>
              <w:jc w:val="left"/>
              <w:spacing w:line="240" w:lineRule="auto" w:after="0"/>
            </w:pPr>
            <w:r>
              <w:rPr>
                <w:rFonts w:ascii="Times New Roman" w:hAnsi="Times New Roman" w:cs="Times New Roman" w:eastAsia="Times New Roman"/>
                <w:sz w:val="20"/>
                <w:szCs w:val="20"/>
              </w:rPr>
              <w:t xml:space="preserve">OR</w:t>
            </w:r>
          </w:p>
        </w:tc>
        <w:tc>
          <w:tcPr/>
          <w:p>
            <w:pPr>
              <w:pStyle w:val="Normal"/>
              <w:jc w:val="left"/>
              <w:spacing w:line="240" w:lineRule="auto" w:after="0"/>
            </w:pPr>
            <w:r>
              <w:rPr>
                <w:rFonts w:ascii="Times New Roman" w:hAnsi="Times New Roman" w:cs="Times New Roman" w:eastAsia="Times New Roman"/>
                <w:sz w:val="20"/>
                <w:szCs w:val="20"/>
              </w:rPr>
              <w:t xml:space="preserve">Odds ratio</w:t>
            </w:r>
          </w:p>
        </w:tc>
      </w:tr>
      <w:tr>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Randomized controlled trial</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Trial sequential analysis</w:t>
            </w:r>
          </w:p>
        </w:tc>
      </w:tr>
    </w:tbl>
    <w:p>
      <w:pPr>
        <w:pStyle w:val="Heading2"/>
      </w:pPr>
      <w:r>
        <w:rPr>
          <w:rFonts w:ascii="Times New Roman" w:hAnsi="Times New Roman"/>
          <w:b/>
          <w:color w:val="000000"/>
          <w:sz w:val="24"/>
        </w:rPr>
        <w:t>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[1]. Nevertheless, meta-analyses of observational studies and RCTs frequently disagree: observational evidence may show statistically significant benefit while RCT evidence does not [2-3].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[4-5].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term this phenomenon</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statistically significant difference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interpreted as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[6-7]. TSA applies sequential monitoring boundaries to cumulative meta-analysis, distinguishing evidence of no effect (futility boundary crossed) from no evidence of effect (boundary not crossed) [8-9]. However, these tools are underused in guideline development, and neither directly quantifies the information loss attributable to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 number of trial design strategies can mitigate event dilution (Table 1), including stratified randomization, prognostic enrichment, event-driven designs, adaptive sample-size re-estimation, and pragmatic or registry-based trials. Yet no existing framework integrates prospective power assessment, retrospective diagnostic evaluation, and structured evidence interpretation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therefore developed the Knowledge-driven Observational-Trial Harmonization Approach (KOTHA) Framework. It is a three-module system that (1) diagnoses structural information loss through counterfactual power simulation (Module K), (2) integrates discordant evidence through hierarchical Bayesian meta-analysis (Module T), and (3) translates quantitative findings into GRADE-compatible evidence assessment (Module H). This paper describes the framework and illustrates its application to two canonical cases of observational-RCT divergence, with an emphasis on implications for clinical trial design.</w:t>
      </w:r>
    </w:p>
    <w:p>
      <w:r>
        <w:rPr>
          <w:rFonts w:ascii="Times New Roman" w:hAnsi="Times New Roman"/>
          <w:b/>
          <w:i w:val="0"/>
          <w:sz w:val="24"/>
        </w:rPr>
        <w:t>Table 1: Existing approaches to mitigate event dilution in RCTs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2640"/>
        <w:gridCol w:w="2640"/>
        <w:gridCol w:w="264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Approach</w:t>
            </w:r>
          </w:p>
        </w:tc>
        <w:tc>
          <w:tcPr/>
          <w:p>
            <w:pPr>
              <w:pStyle w:val="Normal"/>
              <w:jc w:val="left"/>
              <w:spacing w:line="240" w:lineRule="auto" w:after="0"/>
            </w:pPr>
            <w:r>
              <w:rPr>
                <w:rFonts w:ascii="Times New Roman" w:hAnsi="Times New Roman" w:cs="Times New Roman" w:eastAsia="Times New Roman"/>
                <w:sz w:val="20"/>
                <w:szCs w:val="20"/>
                <w:b/>
              </w:rPr>
              <w:t xml:space="preserve">Mechanism</w:t>
            </w:r>
          </w:p>
        </w:tc>
        <w:tc>
          <w:tcPr/>
          <w:p>
            <w:pPr>
              <w:pStyle w:val="Normal"/>
              <w:jc w:val="left"/>
              <w:spacing w:line="240" w:lineRule="auto" w:after="0"/>
            </w:pPr>
            <w:r>
              <w:rPr>
                <w:rFonts w:ascii="Times New Roman" w:hAnsi="Times New Roman" w:cs="Times New Roman" w:eastAsia="Times New Roman"/>
                <w:sz w:val="20"/>
                <w:szCs w:val="20"/>
                <w:b/>
              </w:rPr>
              <w:t xml:space="preserve">Adoption level</w:t>
            </w:r>
          </w:p>
        </w:tc>
      </w:tr>
      <w:tr>
        <w:tc>
          <w:tcPr/>
          <w:p>
            <w:pPr>
              <w:pStyle w:val="Normal"/>
              <w:jc w:val="left"/>
              <w:spacing w:line="240" w:lineRule="auto" w:after="0"/>
            </w:pPr>
            <w:r>
              <w:rPr>
                <w:rFonts w:ascii="Times New Roman" w:hAnsi="Times New Roman" w:cs="Times New Roman" w:eastAsia="Times New Roman"/>
                <w:sz w:val="20"/>
                <w:szCs w:val="20"/>
              </w:rPr>
              <w:t xml:space="preserve">Stratified randomization</w:t>
            </w:r>
          </w:p>
        </w:tc>
        <w:tc>
          <w:tcPr/>
          <w:p>
            <w:pPr>
              <w:pStyle w:val="Normal"/>
              <w:jc w:val="left"/>
              <w:spacing w:line="240" w:lineRule="auto" w:after="0"/>
            </w:pPr>
            <w:r>
              <w:rPr>
                <w:rFonts w:ascii="Times New Roman" w:hAnsi="Times New Roman" w:cs="Times New Roman" w:eastAsia="Times New Roman"/>
                <w:sz w:val="20"/>
                <w:szCs w:val="20"/>
              </w:rPr>
              <w:t xml:space="preserve">Risk-based stratification of randomization and analysis</w:t>
            </w:r>
          </w:p>
        </w:tc>
        <w:tc>
          <w:tcPr/>
          <w:p>
            <w:pPr>
              <w:pStyle w:val="Normal"/>
              <w:jc w:val="left"/>
              <w:spacing w:line="240" w:lineRule="auto" w:after="0"/>
            </w:pPr>
            <w:r>
              <w:rPr>
                <w:rFonts w:ascii="Times New Roman" w:hAnsi="Times New Roman" w:cs="Times New Roman" w:eastAsia="Times New Roman"/>
                <w:sz w:val="20"/>
                <w:szCs w:val="20"/>
              </w:rPr>
              <w:t xml:space="preserve">Common for basic strata; rare for event-rate-driven strata</w:t>
            </w:r>
          </w:p>
        </w:tc>
      </w:tr>
      <w:tr>
        <w:tc>
          <w:tcPr/>
          <w:p>
            <w:pPr>
              <w:pStyle w:val="Normal"/>
              <w:jc w:val="left"/>
              <w:spacing w:line="240" w:lineRule="auto" w:after="0"/>
            </w:pPr>
            <w:r>
              <w:rPr>
                <w:rFonts w:ascii="Times New Roman" w:hAnsi="Times New Roman" w:cs="Times New Roman" w:eastAsia="Times New Roman"/>
                <w:sz w:val="20"/>
                <w:szCs w:val="20"/>
              </w:rPr>
              <w:t xml:space="preserve">Prognostic enrichment</w:t>
            </w:r>
          </w:p>
        </w:tc>
        <w:tc>
          <w:tcPr/>
          <w:p>
            <w:pPr>
              <w:pStyle w:val="Normal"/>
              <w:jc w:val="left"/>
              <w:spacing w:line="240" w:lineRule="auto" w:after="0"/>
            </w:pPr>
            <w:r>
              <w:rPr>
                <w:rFonts w:ascii="Times New Roman" w:hAnsi="Times New Roman" w:cs="Times New Roman" w:eastAsia="Times New Roman"/>
                <w:sz w:val="20"/>
                <w:szCs w:val="20"/>
              </w:rPr>
              <w:t xml:space="preserve">Intentional enrollment of high-risk patients to increase event rates</w:t>
            </w:r>
          </w:p>
        </w:tc>
        <w:tc>
          <w:tcPr/>
          <w:p>
            <w:pPr>
              <w:pStyle w:val="Normal"/>
              <w:jc w:val="left"/>
              <w:spacing w:line="240" w:lineRule="auto" w:after="0"/>
            </w:pPr>
            <w:r>
              <w:rPr>
                <w:rFonts w:ascii="Times New Roman" w:hAnsi="Times New Roman" w:cs="Times New Roman" w:eastAsia="Times New Roman"/>
                <w:sz w:val="20"/>
                <w:szCs w:val="20"/>
              </w:rPr>
              <w:t xml:space="preserve">Endorsed by FDA and EMA guidance; limited in non-drug trials</w:t>
            </w:r>
          </w:p>
        </w:tc>
      </w:tr>
      <w:tr>
        <w:tc>
          <w:tcPr/>
          <w:p>
            <w:pPr>
              <w:pStyle w:val="Normal"/>
              <w:jc w:val="left"/>
              <w:spacing w:line="240" w:lineRule="auto" w:after="0"/>
            </w:pPr>
            <w:r>
              <w:rPr>
                <w:rFonts w:ascii="Times New Roman" w:hAnsi="Times New Roman" w:cs="Times New Roman" w:eastAsia="Times New Roman"/>
                <w:sz w:val="20"/>
                <w:szCs w:val="20"/>
              </w:rPr>
              <w:t xml:space="preserve">Event-driven design</w:t>
            </w:r>
          </w:p>
        </w:tc>
        <w:tc>
          <w:tcPr/>
          <w:p>
            <w:pPr>
              <w:pStyle w:val="Normal"/>
              <w:jc w:val="left"/>
              <w:spacing w:line="240" w:lineRule="auto" w:after="0"/>
            </w:pPr>
            <w:r>
              <w:rPr>
                <w:rFonts w:ascii="Times New Roman" w:hAnsi="Times New Roman" w:cs="Times New Roman" w:eastAsia="Times New Roman"/>
                <w:sz w:val="20"/>
                <w:szCs w:val="20"/>
              </w:rPr>
              <w:t xml:space="preserve">Continue enrollment/follow-up until target event count is reached</w:t>
            </w:r>
          </w:p>
        </w:tc>
        <w:tc>
          <w:tcPr/>
          <w:p>
            <w:pPr>
              <w:pStyle w:val="Normal"/>
              <w:jc w:val="left"/>
              <w:spacing w:line="240" w:lineRule="auto" w:after="0"/>
            </w:pPr>
            <w:r>
              <w:rPr>
                <w:rFonts w:ascii="Times New Roman" w:hAnsi="Times New Roman" w:cs="Times New Roman" w:eastAsia="Times New Roman"/>
                <w:sz w:val="20"/>
                <w:szCs w:val="20"/>
              </w:rPr>
              <w:t xml:space="preserve">Common in cardiology and oncology; rare in other specialties</w:t>
            </w:r>
          </w:p>
        </w:tc>
      </w:tr>
      <w:tr>
        <w:tc>
          <w:tcPr/>
          <w:p>
            <w:pPr>
              <w:pStyle w:val="Normal"/>
              <w:jc w:val="left"/>
              <w:spacing w:line="240" w:lineRule="auto" w:after="0"/>
            </w:pPr>
            <w:r>
              <w:rPr>
                <w:rFonts w:ascii="Times New Roman" w:hAnsi="Times New Roman" w:cs="Times New Roman" w:eastAsia="Times New Roman"/>
                <w:sz w:val="20"/>
                <w:szCs w:val="20"/>
              </w:rPr>
              <w:t xml:space="preserve">Adaptive sample size re-estimation</w:t>
            </w:r>
          </w:p>
        </w:tc>
        <w:tc>
          <w:tcPr/>
          <w:p>
            <w:pPr>
              <w:pStyle w:val="Normal"/>
              <w:jc w:val="left"/>
              <w:spacing w:line="240" w:lineRule="auto" w:after="0"/>
            </w:pPr>
            <w:r>
              <w:rPr>
                <w:rFonts w:ascii="Times New Roman" w:hAnsi="Times New Roman" w:cs="Times New Roman" w:eastAsia="Times New Roman"/>
                <w:sz w:val="20"/>
                <w:szCs w:val="20"/>
              </w:rPr>
              <w:t xml:space="preserve">Mid-trial re-estimation of required sample size based on observed event rates</w:t>
            </w:r>
          </w:p>
        </w:tc>
        <w:tc>
          <w:tcPr/>
          <w:p>
            <w:pPr>
              <w:pStyle w:val="Normal"/>
              <w:jc w:val="left"/>
              <w:spacing w:line="240" w:lineRule="auto" w:after="0"/>
            </w:pPr>
            <w:r>
              <w:rPr>
                <w:rFonts w:ascii="Times New Roman" w:hAnsi="Times New Roman" w:cs="Times New Roman" w:eastAsia="Times New Roman"/>
                <w:sz w:val="20"/>
                <w:szCs w:val="20"/>
              </w:rPr>
              <w:t xml:space="preserve">Statistically powerful; regulatory complexity limits adoption</w:t>
            </w:r>
          </w:p>
        </w:tc>
      </w:tr>
      <w:tr>
        <w:tc>
          <w:tcPr/>
          <w:p>
            <w:pPr>
              <w:pStyle w:val="Normal"/>
              <w:jc w:val="left"/>
              <w:spacing w:line="240" w:lineRule="auto" w:after="0"/>
            </w:pPr>
            <w:r>
              <w:rPr>
                <w:rFonts w:ascii="Times New Roman" w:hAnsi="Times New Roman" w:cs="Times New Roman" w:eastAsia="Times New Roman"/>
                <w:sz w:val="20"/>
                <w:szCs w:val="20"/>
              </w:rPr>
              <w:t xml:space="preserve">External data-informed design</w:t>
            </w:r>
          </w:p>
        </w:tc>
        <w:tc>
          <w:tcPr/>
          <w:p>
            <w:pPr>
              <w:pStyle w:val="Normal"/>
              <w:jc w:val="left"/>
              <w:spacing w:line="240" w:lineRule="auto" w:after="0"/>
            </w:pPr>
            <w:r>
              <w:rPr>
                <w:rFonts w:ascii="Times New Roman" w:hAnsi="Times New Roman" w:cs="Times New Roman" w:eastAsia="Times New Roman"/>
                <w:sz w:val="20"/>
                <w:szCs w:val="20"/>
              </w:rPr>
              <w:t xml:space="preserve">Use retrospective data to quantify expected event loss and adjust design</w:t>
            </w:r>
          </w:p>
        </w:tc>
        <w:tc>
          <w:tcPr/>
          <w:p>
            <w:pPr>
              <w:pStyle w:val="Normal"/>
              <w:jc w:val="left"/>
              <w:spacing w:line="240" w:lineRule="auto" w:after="0"/>
            </w:pPr>
            <w:r>
              <w:rPr>
                <w:rFonts w:ascii="Times New Roman" w:hAnsi="Times New Roman" w:cs="Times New Roman" w:eastAsia="Times New Roman"/>
                <w:sz w:val="20"/>
                <w:szCs w:val="20"/>
              </w:rPr>
              <w:t xml:space="preserve">Ideal but very rare in practice</w:t>
            </w:r>
          </w:p>
        </w:tc>
      </w:tr>
      <w:tr>
        <w:tc>
          <w:tcPr/>
          <w:p>
            <w:pPr>
              <w:pStyle w:val="Normal"/>
              <w:jc w:val="left"/>
              <w:spacing w:line="240" w:lineRule="auto" w:after="0"/>
            </w:pPr>
            <w:r>
              <w:rPr>
                <w:rFonts w:ascii="Times New Roman" w:hAnsi="Times New Roman" w:cs="Times New Roman" w:eastAsia="Times New Roman"/>
                <w:sz w:val="20"/>
                <w:szCs w:val="20"/>
              </w:rPr>
              <w:t xml:space="preserve">Pragmatic / registry-based trials</w:t>
            </w:r>
          </w:p>
        </w:tc>
        <w:tc>
          <w:tcPr/>
          <w:p>
            <w:pPr>
              <w:pStyle w:val="Normal"/>
              <w:jc w:val="left"/>
              <w:spacing w:line="240" w:lineRule="auto" w:after="0"/>
            </w:pPr>
            <w:r>
              <w:rPr>
                <w:rFonts w:ascii="Times New Roman" w:hAnsi="Times New Roman" w:cs="Times New Roman" w:eastAsia="Times New Roman"/>
                <w:sz w:val="20"/>
                <w:szCs w:val="20"/>
              </w:rPr>
              <w:t xml:space="preserve">Broad eligibility, minimal exclusions, real-world enrollment</w:t>
            </w:r>
          </w:p>
        </w:tc>
        <w:tc>
          <w:tcPr/>
          <w:p>
            <w:pPr>
              <w:pStyle w:val="Normal"/>
              <w:jc w:val="left"/>
              <w:spacing w:line="240" w:lineRule="auto" w:after="0"/>
            </w:pPr>
            <w:r>
              <w:rPr>
                <w:rFonts w:ascii="Times New Roman" w:hAnsi="Times New Roman" w:cs="Times New Roman" w:eastAsia="Times New Roman"/>
                <w:sz w:val="20"/>
                <w:szCs w:val="20"/>
              </w:rPr>
              <w:t xml:space="preserve">Growing (e.g., REMAP-CAP, RECOVERY) but not yet standard</w:t>
            </w:r>
          </w:p>
        </w:tc>
      </w:tr>
    </w:tbl>
    <w:p>
      <w:pPr>
        <w:pStyle w:val="Heading2"/>
      </w:pPr>
      <w:r>
        <w:rPr>
          <w:rFonts w:ascii="Times New Roman" w:hAnsi="Times New Roman"/>
          <w:b/>
          <w:color w:val="000000"/>
          <w:sz w:val="24"/>
        </w:rPr>
        <w:t>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(Hermeneutic Guideline Interpreter) translates module outputs into a structured GRADE assessment. Each module can be used independently, but the framework is most informative when applied in sequence.</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[10].</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patients randomized 1:1. Under the Schoenfeld approximation [11], the standard error of the log-OR is approximately</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[15], so that</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Alternative effect measures such as restricted mean survival time can be substituted when proportional-hazards assumptions are questionable [12-13]. Evidence-based priors have been proposed to anchor historical expectations while limiting prior-data conflict [14]. We also present bias-adjusted normal-approximation analyses as a sensitivity check. Posterior distributions are obtained by Metropolis-Hastings MCMC (15,000 post-warmup iterations after 3,000 warmup) for each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 we report the full grid to show sensitivity and use</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as an illustrative moderate-discounting value without claiming it is universally optimal.</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maps the outputs of Modules K and T onto the GRADE framework [1]. It includes five assessments (Table 2): information sufficiency (OIS vs observed events), confidence interval interpretation, representativeness (event rate ratio), TSA boundary status, and recommended language. For CI interpretation, we used relative effect boundaries of 0.80 and 1.25 to define clinically important benefit and harm. For representativeness, event-rate ratios below 0.67 or above 1.50 (a ≥50% relative shift) are classified as serious indirectness, and ratios below 0.80 or above 1.25 (a ≥25% relative shift) as moderate indirectness. These thresholds correspond to conventional boundaries for clinically important relative effects. The result is a KOTHA-enhanced certainty rating and recommendation that explicitly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 (inconsistent or indirect).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[16-17]. For statins in heart failure we used aggregate data from five observational cohorts [18-22] and two RCTs [23-24]. We used DerSimonian-Laird random-effects meta-analysis [25] and computed 95% confidence intervals. OIS and TSA were calculated using standard formulas [6-9]. All analyses were performed with the Python code in the public repository.</w:t>
      </w:r>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9"/>
                    <a:stretch>
                      <a:fillRect/>
                    </a:stretch>
                  </pic:blipFill>
                  <pic:spPr>
                    <a:xfrm>
                      <a:off x="0" y="0"/>
                      <a:ext cx="5029200" cy="353625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r>
        <w:rPr>
          <w:rFonts w:ascii="Times New Roman" w:hAnsi="Times New Roman"/>
          <w:b/>
          <w:i w:val="0"/>
          <w:sz w:val="24"/>
        </w:rPr>
        <w:t>Table 2: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2"/>
      </w:pPr>
      <w:r>
        <w:rPr>
          <w:rFonts w:ascii="Times New Roman" w:hAnsi="Times New Roman"/>
          <w:b/>
          <w:color w:val="000000"/>
          <w:sz w:val="24"/>
        </w:rPr>
        <w:t>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summarized in Table 3 (magnesium in AMI) and Table 4 (statins in HF). In the magnesium case, control-group mortality fell from a pre-thrombolysis weighted mean of 8.9% to 7.2% in ISIS-4, an event rate ratio of 0.82 (Fig. 2). In the statins case, the RCT-to-observational event rate ratio was 0.53, indicating that the RCT populations had roughly half the mortality event rate of the observational cohorts.</w:t>
      </w:r>
    </w:p>
    <w:p>
      <w:r>
        <w:rPr>
          <w:rFonts w:ascii="Times New Roman" w:hAnsi="Times New Roman"/>
          <w:b/>
          <w:i w:val="0"/>
          <w:sz w:val="24"/>
        </w:rPr>
        <w:t>Table 3: Study-level data for magnesium in AMI</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990"/>
        <w:gridCol w:w="990"/>
        <w:gridCol w:w="990"/>
        <w:gridCol w:w="990"/>
        <w:gridCol w:w="990"/>
        <w:gridCol w:w="990"/>
        <w:gridCol w:w="990"/>
        <w:gridCol w:w="99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Study</w:t>
            </w:r>
          </w:p>
        </w:tc>
        <w:tc>
          <w:tcPr/>
          <w:p>
            <w:pPr>
              <w:pStyle w:val="Normal"/>
              <w:jc w:val="left"/>
              <w:spacing w:line="240" w:lineRule="auto" w:after="0"/>
            </w:pPr>
            <w:r>
              <w:rPr>
                <w:rFonts w:ascii="Times New Roman" w:hAnsi="Times New Roman" w:cs="Times New Roman" w:eastAsia="Times New Roman"/>
                <w:sz w:val="20"/>
                <w:szCs w:val="20"/>
                <w:b/>
              </w:rPr>
              <w:t xml:space="preserve">Year</w:t>
            </w:r>
          </w:p>
        </w:tc>
        <w:tc>
          <w:tcPr/>
          <w:p>
            <w:pPr>
              <w:pStyle w:val="Normal"/>
              <w:jc w:val="left"/>
              <w:spacing w:line="240" w:lineRule="auto" w:after="0"/>
            </w:pPr>
            <w:r>
              <w:rPr>
                <w:rFonts w:ascii="Times New Roman" w:hAnsi="Times New Roman" w:cs="Times New Roman" w:eastAsia="Times New Roman"/>
                <w:sz w:val="20"/>
                <w:szCs w:val="20"/>
                <w:b/>
              </w:rPr>
              <w:t xml:space="preserve">Era</w:t>
            </w:r>
          </w:p>
        </w:tc>
        <w:tc>
          <w:tcPr/>
          <w:p>
            <w:pPr>
              <w:pStyle w:val="Normal"/>
              <w:jc w:val="left"/>
              <w:spacing w:line="240" w:lineRule="auto" w:after="0"/>
            </w:pPr>
            <w:r>
              <w:rPr>
                <w:rFonts w:ascii="Times New Roman" w:hAnsi="Times New Roman" w:cs="Times New Roman" w:eastAsia="Times New Roman"/>
                <w:sz w:val="20"/>
                <w:szCs w:val="20"/>
                <w:b/>
              </w:rPr>
              <w:t xml:space="preserve">Events (Mg)</w:t>
            </w:r>
          </w:p>
        </w:tc>
        <w:tc>
          <w:tcPr/>
          <w:p>
            <w:pPr>
              <w:pStyle w:val="Normal"/>
              <w:jc w:val="left"/>
              <w:spacing w:line="240" w:lineRule="auto" w:after="0"/>
            </w:pPr>
            <w:r>
              <w:rPr>
                <w:rFonts w:ascii="Times New Roman" w:hAnsi="Times New Roman" w:cs="Times New Roman" w:eastAsia="Times New Roman"/>
                <w:sz w:val="20"/>
                <w:szCs w:val="20"/>
                <w:b/>
              </w:rPr>
              <w:t xml:space="preserve">N (Mg)</w:t>
            </w:r>
          </w:p>
        </w:tc>
        <w:tc>
          <w:tcPr/>
          <w:p>
            <w:pPr>
              <w:pStyle w:val="Normal"/>
              <w:jc w:val="left"/>
              <w:spacing w:line="240" w:lineRule="auto" w:after="0"/>
            </w:pPr>
            <w:r>
              <w:rPr>
                <w:rFonts w:ascii="Times New Roman" w:hAnsi="Times New Roman" w:cs="Times New Roman" w:eastAsia="Times New Roman"/>
                <w:sz w:val="20"/>
                <w:szCs w:val="20"/>
                <w:b/>
              </w:rPr>
              <w:t xml:space="preserve">Events (Ctrl)</w:t>
            </w:r>
          </w:p>
        </w:tc>
        <w:tc>
          <w:tcPr/>
          <w:p>
            <w:pPr>
              <w:pStyle w:val="Normal"/>
              <w:jc w:val="left"/>
              <w:spacing w:line="240" w:lineRule="auto" w:after="0"/>
            </w:pPr>
            <w:r>
              <w:rPr>
                <w:rFonts w:ascii="Times New Roman" w:hAnsi="Times New Roman" w:cs="Times New Roman" w:eastAsia="Times New Roman"/>
                <w:sz w:val="20"/>
                <w:szCs w:val="20"/>
                <w:b/>
              </w:rPr>
              <w:t xml:space="preserve">N (Ctrl)</w:t>
            </w:r>
          </w:p>
        </w:tc>
        <w:tc>
          <w:tcPr/>
          <w:p>
            <w:pPr>
              <w:pStyle w:val="Normal"/>
              <w:jc w:val="left"/>
              <w:spacing w:line="240" w:lineRule="auto" w:after="0"/>
            </w:pPr>
            <w:r>
              <w:rPr>
                <w:rFonts w:ascii="Times New Roman" w:hAnsi="Times New Roman" w:cs="Times New Roman" w:eastAsia="Times New Roman"/>
                <w:sz w:val="20"/>
                <w:szCs w:val="20"/>
                <w:b/>
              </w:rPr>
              <w:t xml:space="preserve">Control rate</w:t>
            </w:r>
          </w:p>
        </w:tc>
      </w:tr>
      <w:tr>
        <w:tc>
          <w:tcPr/>
          <w:p>
            <w:pPr>
              <w:pStyle w:val="Normal"/>
              <w:jc w:val="left"/>
              <w:spacing w:line="240" w:lineRule="auto" w:after="0"/>
            </w:pPr>
            <w:r>
              <w:rPr>
                <w:rFonts w:ascii="Times New Roman" w:hAnsi="Times New Roman" w:cs="Times New Roman" w:eastAsia="Times New Roman"/>
                <w:sz w:val="20"/>
                <w:szCs w:val="20"/>
              </w:rPr>
              <w:t xml:space="preserve">Morton 1984</w:t>
            </w:r>
          </w:p>
        </w:tc>
        <w:tc>
          <w:tcPr/>
          <w:p>
            <w:pPr>
              <w:pStyle w:val="Normal"/>
              <w:jc w:val="left"/>
              <w:spacing w:line="240" w:lineRule="auto" w:after="0"/>
            </w:pPr>
            <w:r>
              <w:rPr>
                <w:rFonts w:ascii="Times New Roman" w:hAnsi="Times New Roman" w:cs="Times New Roman" w:eastAsia="Times New Roman"/>
                <w:sz w:val="20"/>
                <w:szCs w:val="20"/>
              </w:rPr>
              <w:t xml:space="preserve">1984</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40</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36</w:t>
            </w:r>
          </w:p>
        </w:tc>
        <w:tc>
          <w:tcPr/>
          <w:p>
            <w:pPr>
              <w:pStyle w:val="Normal"/>
              <w:jc w:val="left"/>
              <w:spacing w:line="240" w:lineRule="auto" w:after="0"/>
            </w:pPr>
            <w:r>
              <w:rPr>
                <w:rFonts w:ascii="Times New Roman" w:hAnsi="Times New Roman" w:cs="Times New Roman" w:eastAsia="Times New Roman"/>
                <w:sz w:val="20"/>
                <w:szCs w:val="20"/>
              </w:rPr>
              <w:t xml:space="preserve">5.6%</w:t>
            </w:r>
          </w:p>
        </w:tc>
      </w:tr>
      <w:tr>
        <w:tc>
          <w:tcPr/>
          <w:p>
            <w:pPr>
              <w:pStyle w:val="Normal"/>
              <w:jc w:val="left"/>
              <w:spacing w:line="240" w:lineRule="auto" w:after="0"/>
            </w:pPr>
            <w:r>
              <w:rPr>
                <w:rFonts w:ascii="Times New Roman" w:hAnsi="Times New Roman" w:cs="Times New Roman" w:eastAsia="Times New Roman"/>
                <w:sz w:val="20"/>
                <w:szCs w:val="20"/>
              </w:rPr>
              <w:t xml:space="preserve">Rasmussen 1986</w:t>
            </w:r>
          </w:p>
        </w:tc>
        <w:tc>
          <w:tcPr/>
          <w:p>
            <w:pPr>
              <w:pStyle w:val="Normal"/>
              <w:jc w:val="left"/>
              <w:spacing w:line="240" w:lineRule="auto" w:after="0"/>
            </w:pPr>
            <w:r>
              <w:rPr>
                <w:rFonts w:ascii="Times New Roman" w:hAnsi="Times New Roman" w:cs="Times New Roman" w:eastAsia="Times New Roman"/>
                <w:sz w:val="20"/>
                <w:szCs w:val="20"/>
              </w:rPr>
              <w:t xml:space="preserve">1986</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56</w:t>
            </w:r>
          </w:p>
        </w:tc>
        <w:tc>
          <w:tcPr/>
          <w:p>
            <w:pPr>
              <w:pStyle w:val="Normal"/>
              <w:jc w:val="left"/>
              <w:spacing w:line="240" w:lineRule="auto" w:after="0"/>
            </w:pPr>
            <w:r>
              <w:rPr>
                <w:rFonts w:ascii="Times New Roman" w:hAnsi="Times New Roman" w:cs="Times New Roman" w:eastAsia="Times New Roman"/>
                <w:sz w:val="20"/>
                <w:szCs w:val="20"/>
              </w:rPr>
              <w:t xml:space="preserve">9</w:t>
            </w:r>
          </w:p>
        </w:tc>
        <w:tc>
          <w:tcPr/>
          <w:p>
            <w:pPr>
              <w:pStyle w:val="Normal"/>
              <w:jc w:val="left"/>
              <w:spacing w:line="240" w:lineRule="auto" w:after="0"/>
            </w:pPr>
            <w:r>
              <w:rPr>
                <w:rFonts w:ascii="Times New Roman" w:hAnsi="Times New Roman" w:cs="Times New Roman" w:eastAsia="Times New Roman"/>
                <w:sz w:val="20"/>
                <w:szCs w:val="20"/>
              </w:rPr>
              <w:t xml:space="preserve">79</w:t>
            </w:r>
          </w:p>
        </w:tc>
        <w:tc>
          <w:tcPr/>
          <w:p>
            <w:pPr>
              <w:pStyle w:val="Normal"/>
              <w:jc w:val="left"/>
              <w:spacing w:line="240" w:lineRule="auto" w:after="0"/>
            </w:pPr>
            <w:r>
              <w:rPr>
                <w:rFonts w:ascii="Times New Roman" w:hAnsi="Times New Roman" w:cs="Times New Roman" w:eastAsia="Times New Roman"/>
                <w:sz w:val="20"/>
                <w:szCs w:val="20"/>
              </w:rPr>
              <w:t xml:space="preserve">11.4%</w:t>
            </w:r>
          </w:p>
        </w:tc>
      </w:tr>
      <w:tr>
        <w:tc>
          <w:tcPr/>
          <w:p>
            <w:pPr>
              <w:pStyle w:val="Normal"/>
              <w:jc w:val="left"/>
              <w:spacing w:line="240" w:lineRule="auto" w:after="0"/>
            </w:pPr>
            <w:r>
              <w:rPr>
                <w:rFonts w:ascii="Times New Roman" w:hAnsi="Times New Roman" w:cs="Times New Roman" w:eastAsia="Times New Roman"/>
                <w:sz w:val="20"/>
                <w:szCs w:val="20"/>
              </w:rPr>
              <w:t xml:space="preserve">Smith 1986</w:t>
            </w:r>
          </w:p>
        </w:tc>
        <w:tc>
          <w:tcPr/>
          <w:p>
            <w:pPr>
              <w:pStyle w:val="Normal"/>
              <w:jc w:val="left"/>
              <w:spacing w:line="240" w:lineRule="auto" w:after="0"/>
            </w:pPr>
            <w:r>
              <w:rPr>
                <w:rFonts w:ascii="Times New Roman" w:hAnsi="Times New Roman" w:cs="Times New Roman" w:eastAsia="Times New Roman"/>
                <w:sz w:val="20"/>
                <w:szCs w:val="20"/>
              </w:rPr>
              <w:t xml:space="preserve">1986</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200</w:t>
            </w:r>
          </w:p>
        </w:tc>
        <w:tc>
          <w:tcPr/>
          <w:p>
            <w:pPr>
              <w:pStyle w:val="Normal"/>
              <w:jc w:val="left"/>
              <w:spacing w:line="240" w:lineRule="auto" w:after="0"/>
            </w:pPr>
            <w:r>
              <w:rPr>
                <w:rFonts w:ascii="Times New Roman" w:hAnsi="Times New Roman" w:cs="Times New Roman" w:eastAsia="Times New Roman"/>
                <w:sz w:val="20"/>
                <w:szCs w:val="20"/>
              </w:rPr>
              <w:t xml:space="preserve">7</w:t>
            </w:r>
          </w:p>
        </w:tc>
        <w:tc>
          <w:tcPr/>
          <w:p>
            <w:pPr>
              <w:pStyle w:val="Normal"/>
              <w:jc w:val="left"/>
              <w:spacing w:line="240" w:lineRule="auto" w:after="0"/>
            </w:pPr>
            <w:r>
              <w:rPr>
                <w:rFonts w:ascii="Times New Roman" w:hAnsi="Times New Roman" w:cs="Times New Roman" w:eastAsia="Times New Roman"/>
                <w:sz w:val="20"/>
                <w:szCs w:val="20"/>
              </w:rPr>
              <w:t xml:space="preserve">200</w:t>
            </w:r>
          </w:p>
        </w:tc>
        <w:tc>
          <w:tcPr/>
          <w:p>
            <w:pPr>
              <w:pStyle w:val="Normal"/>
              <w:jc w:val="left"/>
              <w:spacing w:line="240" w:lineRule="auto" w:after="0"/>
            </w:pPr>
            <w:r>
              <w:rPr>
                <w:rFonts w:ascii="Times New Roman" w:hAnsi="Times New Roman" w:cs="Times New Roman" w:eastAsia="Times New Roman"/>
                <w:sz w:val="20"/>
                <w:szCs w:val="20"/>
              </w:rPr>
              <w:t xml:space="preserve">3.5%</w:t>
            </w:r>
          </w:p>
        </w:tc>
      </w:tr>
      <w:tr>
        <w:tc>
          <w:tcPr/>
          <w:p>
            <w:pPr>
              <w:pStyle w:val="Normal"/>
              <w:jc w:val="left"/>
              <w:spacing w:line="240" w:lineRule="auto" w:after="0"/>
            </w:pPr>
            <w:r>
              <w:rPr>
                <w:rFonts w:ascii="Times New Roman" w:hAnsi="Times New Roman" w:cs="Times New Roman" w:eastAsia="Times New Roman"/>
                <w:sz w:val="20"/>
                <w:szCs w:val="20"/>
              </w:rPr>
              <w:t xml:space="preserve">Abraham 1987</w:t>
            </w:r>
          </w:p>
        </w:tc>
        <w:tc>
          <w:tcPr/>
          <w:p>
            <w:pPr>
              <w:pStyle w:val="Normal"/>
              <w:jc w:val="left"/>
              <w:spacing w:line="240" w:lineRule="auto" w:after="0"/>
            </w:pPr>
            <w:r>
              <w:rPr>
                <w:rFonts w:ascii="Times New Roman" w:hAnsi="Times New Roman" w:cs="Times New Roman" w:eastAsia="Times New Roman"/>
                <w:sz w:val="20"/>
                <w:szCs w:val="20"/>
              </w:rPr>
              <w:t xml:space="preserve">1987</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48</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46</w:t>
            </w:r>
          </w:p>
        </w:tc>
        <w:tc>
          <w:tcPr/>
          <w:p>
            <w:pPr>
              <w:pStyle w:val="Normal"/>
              <w:jc w:val="left"/>
              <w:spacing w:line="240" w:lineRule="auto" w:after="0"/>
            </w:pPr>
            <w:r>
              <w:rPr>
                <w:rFonts w:ascii="Times New Roman" w:hAnsi="Times New Roman" w:cs="Times New Roman" w:eastAsia="Times New Roman"/>
                <w:sz w:val="20"/>
                <w:szCs w:val="20"/>
              </w:rPr>
              <w:t xml:space="preserve">2.2%</w:t>
            </w:r>
          </w:p>
        </w:tc>
      </w:tr>
      <w:tr>
        <w:tc>
          <w:tcPr/>
          <w:p>
            <w:pPr>
              <w:pStyle w:val="Normal"/>
              <w:jc w:val="left"/>
              <w:spacing w:line="240" w:lineRule="auto" w:after="0"/>
            </w:pPr>
            <w:r>
              <w:rPr>
                <w:rFonts w:ascii="Times New Roman" w:hAnsi="Times New Roman" w:cs="Times New Roman" w:eastAsia="Times New Roman"/>
                <w:sz w:val="20"/>
                <w:szCs w:val="20"/>
              </w:rPr>
              <w:t xml:space="preserve">Ceremuzynski 1989</w:t>
            </w:r>
          </w:p>
        </w:tc>
        <w:tc>
          <w:tcPr/>
          <w:p>
            <w:pPr>
              <w:pStyle w:val="Normal"/>
              <w:jc w:val="left"/>
              <w:spacing w:line="240" w:lineRule="auto" w:after="0"/>
            </w:pPr>
            <w:r>
              <w:rPr>
                <w:rFonts w:ascii="Times New Roman" w:hAnsi="Times New Roman" w:cs="Times New Roman" w:eastAsia="Times New Roman"/>
                <w:sz w:val="20"/>
                <w:szCs w:val="20"/>
              </w:rPr>
              <w:t xml:space="preserve">1989</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25</w:t>
            </w:r>
          </w:p>
        </w:tc>
        <w:tc>
          <w:tcPr/>
          <w:p>
            <w:pPr>
              <w:pStyle w:val="Normal"/>
              <w:jc w:val="left"/>
              <w:spacing w:line="240" w:lineRule="auto" w:after="0"/>
            </w:pPr>
            <w:r>
              <w:rPr>
                <w:rFonts w:ascii="Times New Roman" w:hAnsi="Times New Roman" w:cs="Times New Roman" w:eastAsia="Times New Roman"/>
                <w:sz w:val="20"/>
                <w:szCs w:val="20"/>
              </w:rPr>
              <w:t xml:space="preserve">3</w:t>
            </w:r>
          </w:p>
        </w:tc>
        <w:tc>
          <w:tcPr/>
          <w:p>
            <w:pPr>
              <w:pStyle w:val="Normal"/>
              <w:jc w:val="left"/>
              <w:spacing w:line="240" w:lineRule="auto" w:after="0"/>
            </w:pPr>
            <w:r>
              <w:rPr>
                <w:rFonts w:ascii="Times New Roman" w:hAnsi="Times New Roman" w:cs="Times New Roman" w:eastAsia="Times New Roman"/>
                <w:sz w:val="20"/>
                <w:szCs w:val="20"/>
              </w:rPr>
              <w:t xml:space="preserve">23</w:t>
            </w:r>
          </w:p>
        </w:tc>
        <w:tc>
          <w:tcPr/>
          <w:p>
            <w:pPr>
              <w:pStyle w:val="Normal"/>
              <w:jc w:val="left"/>
              <w:spacing w:line="240" w:lineRule="auto" w:after="0"/>
            </w:pPr>
            <w:r>
              <w:rPr>
                <w:rFonts w:ascii="Times New Roman" w:hAnsi="Times New Roman" w:cs="Times New Roman" w:eastAsia="Times New Roman"/>
                <w:sz w:val="20"/>
                <w:szCs w:val="20"/>
              </w:rPr>
              <w:t xml:space="preserve">13.0%</w:t>
            </w:r>
          </w:p>
        </w:tc>
      </w:tr>
      <w:tr>
        <w:tc>
          <w:tcPr/>
          <w:p>
            <w:pPr>
              <w:pStyle w:val="Normal"/>
              <w:jc w:val="left"/>
              <w:spacing w:line="240" w:lineRule="auto" w:after="0"/>
            </w:pPr>
            <w:r>
              <w:rPr>
                <w:rFonts w:ascii="Times New Roman" w:hAnsi="Times New Roman" w:cs="Times New Roman" w:eastAsia="Times New Roman"/>
                <w:sz w:val="20"/>
                <w:szCs w:val="20"/>
              </w:rPr>
              <w:t xml:space="preserve">Shechter 1990</w:t>
            </w:r>
          </w:p>
        </w:tc>
        <w:tc>
          <w:tcPr/>
          <w:p>
            <w:pPr>
              <w:pStyle w:val="Normal"/>
              <w:jc w:val="left"/>
              <w:spacing w:line="240" w:lineRule="auto" w:after="0"/>
            </w:pPr>
            <w:r>
              <w:rPr>
                <w:rFonts w:ascii="Times New Roman" w:hAnsi="Times New Roman" w:cs="Times New Roman" w:eastAsia="Times New Roman"/>
                <w:sz w:val="20"/>
                <w:szCs w:val="20"/>
              </w:rPr>
              <w:t xml:space="preserve">1990</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50</w:t>
            </w:r>
          </w:p>
        </w:tc>
        <w:tc>
          <w:tcPr/>
          <w:p>
            <w:pPr>
              <w:pStyle w:val="Normal"/>
              <w:jc w:val="left"/>
              <w:spacing w:line="240" w:lineRule="auto" w:after="0"/>
            </w:pPr>
            <w:r>
              <w:rPr>
                <w:rFonts w:ascii="Times New Roman" w:hAnsi="Times New Roman" w:cs="Times New Roman" w:eastAsia="Times New Roman"/>
                <w:sz w:val="20"/>
                <w:szCs w:val="20"/>
              </w:rPr>
              <w:t xml:space="preserve">9</w:t>
            </w:r>
          </w:p>
        </w:tc>
        <w:tc>
          <w:tcPr/>
          <w:p>
            <w:pPr>
              <w:pStyle w:val="Normal"/>
              <w:jc w:val="left"/>
              <w:spacing w:line="240" w:lineRule="auto" w:after="0"/>
            </w:pPr>
            <w:r>
              <w:rPr>
                <w:rFonts w:ascii="Times New Roman" w:hAnsi="Times New Roman" w:cs="Times New Roman" w:eastAsia="Times New Roman"/>
                <w:sz w:val="20"/>
                <w:szCs w:val="20"/>
              </w:rPr>
              <w:t xml:space="preserve">53</w:t>
            </w:r>
          </w:p>
        </w:tc>
        <w:tc>
          <w:tcPr/>
          <w:p>
            <w:pPr>
              <w:pStyle w:val="Normal"/>
              <w:jc w:val="left"/>
              <w:spacing w:line="240" w:lineRule="auto" w:after="0"/>
            </w:pPr>
            <w:r>
              <w:rPr>
                <w:rFonts w:ascii="Times New Roman" w:hAnsi="Times New Roman" w:cs="Times New Roman" w:eastAsia="Times New Roman"/>
                <w:sz w:val="20"/>
                <w:szCs w:val="20"/>
              </w:rPr>
              <w:t xml:space="preserve">17.0%</w:t>
            </w:r>
          </w:p>
        </w:tc>
      </w:tr>
      <w:tr>
        <w:tc>
          <w:tcPr/>
          <w:p>
            <w:pPr>
              <w:pStyle w:val="Normal"/>
              <w:jc w:val="left"/>
              <w:spacing w:line="240" w:lineRule="auto" w:after="0"/>
            </w:pPr>
            <w:r>
              <w:rPr>
                <w:rFonts w:ascii="Times New Roman" w:hAnsi="Times New Roman" w:cs="Times New Roman" w:eastAsia="Times New Roman"/>
                <w:sz w:val="20"/>
                <w:szCs w:val="20"/>
              </w:rPr>
              <w:t xml:space="preserve">Singh 1990</w:t>
            </w:r>
          </w:p>
        </w:tc>
        <w:tc>
          <w:tcPr/>
          <w:p>
            <w:pPr>
              <w:pStyle w:val="Normal"/>
              <w:jc w:val="left"/>
              <w:spacing w:line="240" w:lineRule="auto" w:after="0"/>
            </w:pPr>
            <w:r>
              <w:rPr>
                <w:rFonts w:ascii="Times New Roman" w:hAnsi="Times New Roman" w:cs="Times New Roman" w:eastAsia="Times New Roman"/>
                <w:sz w:val="20"/>
                <w:szCs w:val="20"/>
              </w:rPr>
              <w:t xml:space="preserve">1990</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6</w:t>
            </w:r>
          </w:p>
        </w:tc>
        <w:tc>
          <w:tcPr/>
          <w:p>
            <w:pPr>
              <w:pStyle w:val="Normal"/>
              <w:jc w:val="left"/>
              <w:spacing w:line="240" w:lineRule="auto" w:after="0"/>
            </w:pPr>
            <w:r>
              <w:rPr>
                <w:rFonts w:ascii="Times New Roman" w:hAnsi="Times New Roman" w:cs="Times New Roman" w:eastAsia="Times New Roman"/>
                <w:sz w:val="20"/>
                <w:szCs w:val="20"/>
              </w:rPr>
              <w:t xml:space="preserve">39</w:t>
            </w:r>
          </w:p>
        </w:tc>
        <w:tc>
          <w:tcPr/>
          <w:p>
            <w:pPr>
              <w:pStyle w:val="Normal"/>
              <w:jc w:val="left"/>
              <w:spacing w:line="240" w:lineRule="auto" w:after="0"/>
            </w:pPr>
            <w:r>
              <w:rPr>
                <w:rFonts w:ascii="Times New Roman" w:hAnsi="Times New Roman" w:cs="Times New Roman" w:eastAsia="Times New Roman"/>
                <w:sz w:val="20"/>
                <w:szCs w:val="20"/>
              </w:rPr>
              <w:t xml:space="preserve">11</w:t>
            </w:r>
          </w:p>
        </w:tc>
        <w:tc>
          <w:tcPr/>
          <w:p>
            <w:pPr>
              <w:pStyle w:val="Normal"/>
              <w:jc w:val="left"/>
              <w:spacing w:line="240" w:lineRule="auto" w:after="0"/>
            </w:pPr>
            <w:r>
              <w:rPr>
                <w:rFonts w:ascii="Times New Roman" w:hAnsi="Times New Roman" w:cs="Times New Roman" w:eastAsia="Times New Roman"/>
                <w:sz w:val="20"/>
                <w:szCs w:val="20"/>
              </w:rPr>
              <w:t xml:space="preserve">37</w:t>
            </w:r>
          </w:p>
        </w:tc>
        <w:tc>
          <w:tcPr/>
          <w:p>
            <w:pPr>
              <w:pStyle w:val="Normal"/>
              <w:jc w:val="left"/>
              <w:spacing w:line="240" w:lineRule="auto" w:after="0"/>
            </w:pPr>
            <w:r>
              <w:rPr>
                <w:rFonts w:ascii="Times New Roman" w:hAnsi="Times New Roman" w:cs="Times New Roman" w:eastAsia="Times New Roman"/>
                <w:sz w:val="20"/>
                <w:szCs w:val="20"/>
              </w:rPr>
              <w:t xml:space="preserve">29.7%</w:t>
            </w:r>
          </w:p>
        </w:tc>
      </w:tr>
      <w:tr>
        <w:tc>
          <w:tcPr/>
          <w:p>
            <w:pPr>
              <w:pStyle w:val="Normal"/>
              <w:jc w:val="left"/>
              <w:spacing w:line="240" w:lineRule="auto" w:after="0"/>
            </w:pPr>
            <w:r>
              <w:rPr>
                <w:rFonts w:ascii="Times New Roman" w:hAnsi="Times New Roman" w:cs="Times New Roman" w:eastAsia="Times New Roman"/>
                <w:sz w:val="20"/>
                <w:szCs w:val="20"/>
              </w:rPr>
              <w:t xml:space="preserve">Feldstedt 1991</w:t>
            </w:r>
          </w:p>
        </w:tc>
        <w:tc>
          <w:tcPr/>
          <w:p>
            <w:pPr>
              <w:pStyle w:val="Normal"/>
              <w:jc w:val="left"/>
              <w:spacing w:line="240" w:lineRule="auto" w:after="0"/>
            </w:pPr>
            <w:r>
              <w:rPr>
                <w:rFonts w:ascii="Times New Roman" w:hAnsi="Times New Roman" w:cs="Times New Roman" w:eastAsia="Times New Roman"/>
                <w:sz w:val="20"/>
                <w:szCs w:val="20"/>
              </w:rPr>
              <w:t xml:space="preserve">1991</w:t>
            </w:r>
          </w:p>
        </w:tc>
        <w:tc>
          <w:tcPr/>
          <w:p>
            <w:pPr>
              <w:pStyle w:val="Normal"/>
              <w:jc w:val="left"/>
              <w:spacing w:line="240" w:lineRule="auto" w:after="0"/>
            </w:pPr>
            <w:r>
              <w:rPr>
                <w:rFonts w:ascii="Times New Roman" w:hAnsi="Times New Roman" w:cs="Times New Roman" w:eastAsia="Times New Roman"/>
                <w:sz w:val="20"/>
                <w:szCs w:val="20"/>
              </w:rPr>
              <w:t xml:space="preserve">Transition</w:t>
            </w:r>
          </w:p>
        </w:tc>
        <w:tc>
          <w:tcPr/>
          <w:p>
            <w:pPr>
              <w:pStyle w:val="Normal"/>
              <w:jc w:val="left"/>
              <w:spacing w:line="240" w:lineRule="auto" w:after="0"/>
            </w:pPr>
            <w:r>
              <w:rPr>
                <w:rFonts w:ascii="Times New Roman" w:hAnsi="Times New Roman" w:cs="Times New Roman" w:eastAsia="Times New Roman"/>
                <w:sz w:val="20"/>
                <w:szCs w:val="20"/>
              </w:rPr>
              <w:t xml:space="preserve">4</w:t>
            </w:r>
          </w:p>
        </w:tc>
        <w:tc>
          <w:tcPr/>
          <w:p>
            <w:pPr>
              <w:pStyle w:val="Normal"/>
              <w:jc w:val="left"/>
              <w:spacing w:line="240" w:lineRule="auto" w:after="0"/>
            </w:pPr>
            <w:r>
              <w:rPr>
                <w:rFonts w:ascii="Times New Roman" w:hAnsi="Times New Roman" w:cs="Times New Roman" w:eastAsia="Times New Roman"/>
                <w:sz w:val="20"/>
                <w:szCs w:val="20"/>
              </w:rPr>
              <w:t xml:space="preserve">100</w:t>
            </w:r>
          </w:p>
        </w:tc>
        <w:tc>
          <w:tcPr/>
          <w:p>
            <w:pPr>
              <w:pStyle w:val="Normal"/>
              <w:jc w:val="left"/>
              <w:spacing w:line="240" w:lineRule="auto" w:after="0"/>
            </w:pPr>
            <w:r>
              <w:rPr>
                <w:rFonts w:ascii="Times New Roman" w:hAnsi="Times New Roman" w:cs="Times New Roman" w:eastAsia="Times New Roman"/>
                <w:sz w:val="20"/>
                <w:szCs w:val="20"/>
              </w:rPr>
              <w:t xml:space="preserve">7</w:t>
            </w:r>
          </w:p>
        </w:tc>
        <w:tc>
          <w:tcPr/>
          <w:p>
            <w:pPr>
              <w:pStyle w:val="Normal"/>
              <w:jc w:val="left"/>
              <w:spacing w:line="240" w:lineRule="auto" w:after="0"/>
            </w:pPr>
            <w:r>
              <w:rPr>
                <w:rFonts w:ascii="Times New Roman" w:hAnsi="Times New Roman" w:cs="Times New Roman" w:eastAsia="Times New Roman"/>
                <w:sz w:val="20"/>
                <w:szCs w:val="20"/>
              </w:rPr>
              <w:t xml:space="preserve">100</w:t>
            </w:r>
          </w:p>
        </w:tc>
        <w:tc>
          <w:tcPr/>
          <w:p>
            <w:pPr>
              <w:pStyle w:val="Normal"/>
              <w:jc w:val="left"/>
              <w:spacing w:line="240" w:lineRule="auto" w:after="0"/>
            </w:pPr>
            <w:r>
              <w:rPr>
                <w:rFonts w:ascii="Times New Roman" w:hAnsi="Times New Roman" w:cs="Times New Roman" w:eastAsia="Times New Roman"/>
                <w:sz w:val="20"/>
                <w:szCs w:val="20"/>
              </w:rPr>
              <w:t xml:space="preserve">7.0%</w:t>
            </w:r>
          </w:p>
        </w:tc>
      </w:tr>
      <w:tr>
        <w:tc>
          <w:tcPr/>
          <w:p>
            <w:pPr>
              <w:pStyle w:val="Normal"/>
              <w:jc w:val="left"/>
              <w:spacing w:line="240" w:lineRule="auto" w:after="0"/>
            </w:pPr>
            <w:r>
              <w:rPr>
                <w:rFonts w:ascii="Times New Roman" w:hAnsi="Times New Roman" w:cs="Times New Roman" w:eastAsia="Times New Roman"/>
                <w:sz w:val="20"/>
                <w:szCs w:val="20"/>
              </w:rPr>
              <w:t xml:space="preserve">Schechter 1991</w:t>
            </w:r>
          </w:p>
        </w:tc>
        <w:tc>
          <w:tcPr/>
          <w:p>
            <w:pPr>
              <w:pStyle w:val="Normal"/>
              <w:jc w:val="left"/>
              <w:spacing w:line="240" w:lineRule="auto" w:after="0"/>
            </w:pPr>
            <w:r>
              <w:rPr>
                <w:rFonts w:ascii="Times New Roman" w:hAnsi="Times New Roman" w:cs="Times New Roman" w:eastAsia="Times New Roman"/>
                <w:sz w:val="20"/>
                <w:szCs w:val="20"/>
              </w:rPr>
              <w:t xml:space="preserve">1991</w:t>
            </w:r>
          </w:p>
        </w:tc>
        <w:tc>
          <w:tcPr/>
          <w:p>
            <w:pPr>
              <w:pStyle w:val="Normal"/>
              <w:jc w:val="left"/>
              <w:spacing w:line="240" w:lineRule="auto" w:after="0"/>
            </w:pPr>
            <w:r>
              <w:rPr>
                <w:rFonts w:ascii="Times New Roman" w:hAnsi="Times New Roman" w:cs="Times New Roman" w:eastAsia="Times New Roman"/>
                <w:sz w:val="20"/>
                <w:szCs w:val="20"/>
              </w:rPr>
              <w:t xml:space="preserve">Transition</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59</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57</w:t>
            </w:r>
          </w:p>
        </w:tc>
        <w:tc>
          <w:tcPr/>
          <w:p>
            <w:pPr>
              <w:pStyle w:val="Normal"/>
              <w:jc w:val="left"/>
              <w:spacing w:line="240" w:lineRule="auto" w:after="0"/>
            </w:pPr>
            <w:r>
              <w:rPr>
                <w:rFonts w:ascii="Times New Roman" w:hAnsi="Times New Roman" w:cs="Times New Roman" w:eastAsia="Times New Roman"/>
                <w:sz w:val="20"/>
                <w:szCs w:val="20"/>
              </w:rPr>
              <w:t xml:space="preserve">3.5%</w:t>
            </w:r>
          </w:p>
        </w:tc>
      </w:tr>
      <w:tr>
        <w:tc>
          <w:tcPr/>
          <w:p>
            <w:pPr>
              <w:pStyle w:val="Normal"/>
              <w:jc w:val="left"/>
              <w:spacing w:line="240" w:lineRule="auto" w:after="0"/>
            </w:pPr>
            <w:r>
              <w:rPr>
                <w:rFonts w:ascii="Times New Roman" w:hAnsi="Times New Roman" w:cs="Times New Roman" w:eastAsia="Times New Roman"/>
                <w:sz w:val="20"/>
                <w:szCs w:val="20"/>
              </w:rPr>
              <w:t xml:space="preserve">LIMIT-2 1992</w:t>
            </w:r>
          </w:p>
        </w:tc>
        <w:tc>
          <w:tcPr/>
          <w:p>
            <w:pPr>
              <w:pStyle w:val="Normal"/>
              <w:jc w:val="left"/>
              <w:spacing w:line="240" w:lineRule="auto" w:after="0"/>
            </w:pPr>
            <w:r>
              <w:rPr>
                <w:rFonts w:ascii="Times New Roman" w:hAnsi="Times New Roman" w:cs="Times New Roman" w:eastAsia="Times New Roman"/>
                <w:sz w:val="20"/>
                <w:szCs w:val="20"/>
              </w:rPr>
              <w:t xml:space="preserve">1992</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90</w:t>
            </w:r>
          </w:p>
        </w:tc>
        <w:tc>
          <w:tcPr/>
          <w:p>
            <w:pPr>
              <w:pStyle w:val="Normal"/>
              <w:jc w:val="left"/>
              <w:spacing w:line="240" w:lineRule="auto" w:after="0"/>
            </w:pPr>
            <w:r>
              <w:rPr>
                <w:rFonts w:ascii="Times New Roman" w:hAnsi="Times New Roman" w:cs="Times New Roman" w:eastAsia="Times New Roman"/>
                <w:sz w:val="20"/>
                <w:szCs w:val="20"/>
              </w:rPr>
              <w:t xml:space="preserve">1,159</w:t>
            </w:r>
          </w:p>
        </w:tc>
        <w:tc>
          <w:tcPr/>
          <w:p>
            <w:pPr>
              <w:pStyle w:val="Normal"/>
              <w:jc w:val="left"/>
              <w:spacing w:line="240" w:lineRule="auto" w:after="0"/>
            </w:pPr>
            <w:r>
              <w:rPr>
                <w:rFonts w:ascii="Times New Roman" w:hAnsi="Times New Roman" w:cs="Times New Roman" w:eastAsia="Times New Roman"/>
                <w:sz w:val="20"/>
                <w:szCs w:val="20"/>
              </w:rPr>
              <w:t xml:space="preserve">118</w:t>
            </w:r>
          </w:p>
        </w:tc>
        <w:tc>
          <w:tcPr/>
          <w:p>
            <w:pPr>
              <w:pStyle w:val="Normal"/>
              <w:jc w:val="left"/>
              <w:spacing w:line="240" w:lineRule="auto" w:after="0"/>
            </w:pPr>
            <w:r>
              <w:rPr>
                <w:rFonts w:ascii="Times New Roman" w:hAnsi="Times New Roman" w:cs="Times New Roman" w:eastAsia="Times New Roman"/>
                <w:sz w:val="20"/>
                <w:szCs w:val="20"/>
              </w:rPr>
              <w:t xml:space="preserve">1,157</w:t>
            </w:r>
          </w:p>
        </w:tc>
        <w:tc>
          <w:tcPr/>
          <w:p>
            <w:pPr>
              <w:pStyle w:val="Normal"/>
              <w:jc w:val="left"/>
              <w:spacing w:line="240" w:lineRule="auto" w:after="0"/>
            </w:pPr>
            <w:r>
              <w:rPr>
                <w:rFonts w:ascii="Times New Roman" w:hAnsi="Times New Roman" w:cs="Times New Roman" w:eastAsia="Times New Roman"/>
                <w:sz w:val="20"/>
                <w:szCs w:val="20"/>
              </w:rPr>
              <w:t xml:space="preserve">10.2%</w:t>
            </w:r>
          </w:p>
        </w:tc>
      </w:tr>
      <w:tr>
        <w:tc>
          <w:tcPr/>
          <w:p>
            <w:pPr>
              <w:pStyle w:val="Normal"/>
              <w:jc w:val="left"/>
              <w:spacing w:line="240" w:lineRule="auto" w:after="0"/>
            </w:pPr>
            <w:r>
              <w:rPr>
                <w:rFonts w:ascii="Times New Roman" w:hAnsi="Times New Roman" w:cs="Times New Roman" w:eastAsia="Times New Roman"/>
                <w:sz w:val="20"/>
                <w:szCs w:val="20"/>
              </w:rPr>
              <w:t xml:space="preserve">Shechter 1995</w:t>
            </w:r>
          </w:p>
        </w:tc>
        <w:tc>
          <w:tcPr/>
          <w:p>
            <w:pPr>
              <w:pStyle w:val="Normal"/>
              <w:jc w:val="left"/>
              <w:spacing w:line="240" w:lineRule="auto" w:after="0"/>
            </w:pPr>
            <w:r>
              <w:rPr>
                <w:rFonts w:ascii="Times New Roman" w:hAnsi="Times New Roman" w:cs="Times New Roman" w:eastAsia="Times New Roman"/>
                <w:sz w:val="20"/>
                <w:szCs w:val="20"/>
              </w:rPr>
              <w:t xml:space="preserve">1995</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4</w:t>
            </w:r>
          </w:p>
        </w:tc>
        <w:tc>
          <w:tcPr/>
          <w:p>
            <w:pPr>
              <w:pStyle w:val="Normal"/>
              <w:jc w:val="left"/>
              <w:spacing w:line="240" w:lineRule="auto" w:after="0"/>
            </w:pPr>
            <w:r>
              <w:rPr>
                <w:rFonts w:ascii="Times New Roman" w:hAnsi="Times New Roman" w:cs="Times New Roman" w:eastAsia="Times New Roman"/>
                <w:sz w:val="20"/>
                <w:szCs w:val="20"/>
              </w:rPr>
              <w:t xml:space="preserve">107</w:t>
            </w:r>
          </w:p>
        </w:tc>
        <w:tc>
          <w:tcPr/>
          <w:p>
            <w:pPr>
              <w:pStyle w:val="Normal"/>
              <w:jc w:val="left"/>
              <w:spacing w:line="240" w:lineRule="auto" w:after="0"/>
            </w:pPr>
            <w:r>
              <w:rPr>
                <w:rFonts w:ascii="Times New Roman" w:hAnsi="Times New Roman" w:cs="Times New Roman" w:eastAsia="Times New Roman"/>
                <w:sz w:val="20"/>
                <w:szCs w:val="20"/>
              </w:rPr>
              <w:t xml:space="preserve">17</w:t>
            </w:r>
          </w:p>
        </w:tc>
        <w:tc>
          <w:tcPr/>
          <w:p>
            <w:pPr>
              <w:pStyle w:val="Normal"/>
              <w:jc w:val="left"/>
              <w:spacing w:line="240" w:lineRule="auto" w:after="0"/>
            </w:pPr>
            <w:r>
              <w:rPr>
                <w:rFonts w:ascii="Times New Roman" w:hAnsi="Times New Roman" w:cs="Times New Roman" w:eastAsia="Times New Roman"/>
                <w:sz w:val="20"/>
                <w:szCs w:val="20"/>
              </w:rPr>
              <w:t xml:space="preserve">108</w:t>
            </w:r>
          </w:p>
        </w:tc>
        <w:tc>
          <w:tcPr/>
          <w:p>
            <w:pPr>
              <w:pStyle w:val="Normal"/>
              <w:jc w:val="left"/>
              <w:spacing w:line="240" w:lineRule="auto" w:after="0"/>
            </w:pPr>
            <w:r>
              <w:rPr>
                <w:rFonts w:ascii="Times New Roman" w:hAnsi="Times New Roman" w:cs="Times New Roman" w:eastAsia="Times New Roman"/>
                <w:sz w:val="20"/>
                <w:szCs w:val="20"/>
              </w:rPr>
              <w:t xml:space="preserve">15.7%</w:t>
            </w:r>
          </w:p>
        </w:tc>
      </w:tr>
      <w:tr>
        <w:tc>
          <w:tcPr/>
          <w:p>
            <w:pPr>
              <w:pStyle w:val="Normal"/>
              <w:jc w:val="left"/>
              <w:spacing w:line="240" w:lineRule="auto" w:after="0"/>
            </w:pPr>
            <w:r>
              <w:rPr>
                <w:rFonts w:ascii="Times New Roman" w:hAnsi="Times New Roman" w:cs="Times New Roman" w:eastAsia="Times New Roman"/>
                <w:sz w:val="20"/>
                <w:szCs w:val="20"/>
              </w:rPr>
              <w:t xml:space="preserve">ISIS-4 1995</w:t>
            </w:r>
          </w:p>
        </w:tc>
        <w:tc>
          <w:tcPr/>
          <w:p>
            <w:pPr>
              <w:pStyle w:val="Normal"/>
              <w:jc w:val="left"/>
              <w:spacing w:line="240" w:lineRule="auto" w:after="0"/>
            </w:pPr>
            <w:r>
              <w:rPr>
                <w:rFonts w:ascii="Times New Roman" w:hAnsi="Times New Roman" w:cs="Times New Roman" w:eastAsia="Times New Roman"/>
                <w:sz w:val="20"/>
                <w:szCs w:val="20"/>
              </w:rPr>
              <w:t xml:space="preserve">1995</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2216</w:t>
            </w:r>
          </w:p>
        </w:tc>
        <w:tc>
          <w:tcPr/>
          <w:p>
            <w:pPr>
              <w:pStyle w:val="Normal"/>
              <w:jc w:val="left"/>
              <w:spacing w:line="240" w:lineRule="auto" w:after="0"/>
            </w:pPr>
            <w:r>
              <w:rPr>
                <w:rFonts w:ascii="Times New Roman" w:hAnsi="Times New Roman" w:cs="Times New Roman" w:eastAsia="Times New Roman"/>
                <w:sz w:val="20"/>
                <w:szCs w:val="20"/>
              </w:rPr>
              <w:t xml:space="preserve">29,011</w:t>
            </w:r>
          </w:p>
        </w:tc>
        <w:tc>
          <w:tcPr/>
          <w:p>
            <w:pPr>
              <w:pStyle w:val="Normal"/>
              <w:jc w:val="left"/>
              <w:spacing w:line="240" w:lineRule="auto" w:after="0"/>
            </w:pPr>
            <w:r>
              <w:rPr>
                <w:rFonts w:ascii="Times New Roman" w:hAnsi="Times New Roman" w:cs="Times New Roman" w:eastAsia="Times New Roman"/>
                <w:sz w:val="20"/>
                <w:szCs w:val="20"/>
              </w:rPr>
              <w:t xml:space="preserve">2103</w:t>
            </w:r>
          </w:p>
        </w:tc>
        <w:tc>
          <w:tcPr/>
          <w:p>
            <w:pPr>
              <w:pStyle w:val="Normal"/>
              <w:jc w:val="left"/>
              <w:spacing w:line="240" w:lineRule="auto" w:after="0"/>
            </w:pPr>
            <w:r>
              <w:rPr>
                <w:rFonts w:ascii="Times New Roman" w:hAnsi="Times New Roman" w:cs="Times New Roman" w:eastAsia="Times New Roman"/>
                <w:sz w:val="20"/>
                <w:szCs w:val="20"/>
              </w:rPr>
              <w:t xml:space="preserve">29,039</w:t>
            </w:r>
          </w:p>
        </w:tc>
        <w:tc>
          <w:tcPr/>
          <w:p>
            <w:pPr>
              <w:pStyle w:val="Normal"/>
              <w:jc w:val="left"/>
              <w:spacing w:line="240" w:lineRule="auto" w:after="0"/>
            </w:pPr>
            <w:r>
              <w:rPr>
                <w:rFonts w:ascii="Times New Roman" w:hAnsi="Times New Roman" w:cs="Times New Roman" w:eastAsia="Times New Roman"/>
                <w:sz w:val="20"/>
                <w:szCs w:val="20"/>
              </w:rPr>
              <w:t xml:space="preserve">7.2%</w:t>
            </w:r>
          </w:p>
        </w:tc>
      </w:tr>
    </w:tbl>
    <w:p>
      <w:r>
        <w:rPr>
          <w:rFonts w:ascii="Times New Roman" w:hAnsi="Times New Roman"/>
          <w:b/>
          <w:i w:val="0"/>
          <w:sz w:val="24"/>
        </w:rPr>
        <w:t>Table 4: Study-level data for statins in heart failure</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Study</w:t>
            </w:r>
          </w:p>
        </w:tc>
        <w:tc>
          <w:tcPr/>
          <w:p>
            <w:pPr>
              <w:pStyle w:val="Normal"/>
              <w:jc w:val="left"/>
              <w:spacing w:line="240" w:lineRule="auto" w:after="0"/>
            </w:pPr>
            <w:r>
              <w:rPr>
                <w:rFonts w:ascii="Times New Roman" w:hAnsi="Times New Roman" w:cs="Times New Roman" w:eastAsia="Times New Roman"/>
                <w:sz w:val="20"/>
                <w:szCs w:val="20"/>
                <w:b/>
              </w:rPr>
              <w:t xml:space="preserve">Design</w:t>
            </w:r>
          </w:p>
        </w:tc>
        <w:tc>
          <w:tcPr/>
          <w:p>
            <w:pPr>
              <w:pStyle w:val="Normal"/>
              <w:jc w:val="left"/>
              <w:spacing w:line="240" w:lineRule="auto" w:after="0"/>
            </w:pPr>
            <w:r>
              <w:rPr>
                <w:rFonts w:ascii="Times New Roman" w:hAnsi="Times New Roman" w:cs="Times New Roman" w:eastAsia="Times New Roman"/>
                <w:sz w:val="20"/>
                <w:szCs w:val="20"/>
                <w:b/>
              </w:rPr>
              <w:t xml:space="preserve">HR (95% CI)</w:t>
            </w:r>
          </w:p>
        </w:tc>
        <w:tc>
          <w:tcPr/>
          <w:p>
            <w:pPr>
              <w:pStyle w:val="Normal"/>
              <w:jc w:val="left"/>
              <w:spacing w:line="240" w:lineRule="auto" w:after="0"/>
            </w:pPr>
            <w:r>
              <w:rPr>
                <w:rFonts w:ascii="Times New Roman" w:hAnsi="Times New Roman" w:cs="Times New Roman" w:eastAsia="Times New Roman"/>
                <w:sz w:val="20"/>
                <w:szCs w:val="20"/>
                <w:b/>
              </w:rPr>
              <w:t xml:space="preserve">N</w:t>
            </w:r>
          </w:p>
        </w:tc>
        <w:tc>
          <w:tcPr/>
          <w:p>
            <w:pPr>
              <w:pStyle w:val="Normal"/>
              <w:jc w:val="left"/>
              <w:spacing w:line="240" w:lineRule="auto" w:after="0"/>
            </w:pPr>
            <w:r>
              <w:rPr>
                <w:rFonts w:ascii="Times New Roman" w:hAnsi="Times New Roman" w:cs="Times New Roman" w:eastAsia="Times New Roman"/>
                <w:sz w:val="20"/>
                <w:szCs w:val="20"/>
                <w:b/>
              </w:rPr>
              <w:t xml:space="preserve">Events</w:t>
            </w:r>
          </w:p>
        </w:tc>
      </w:tr>
      <w:tr>
        <w:tc>
          <w:tcPr/>
          <w:p>
            <w:pPr>
              <w:pStyle w:val="Normal"/>
              <w:jc w:val="left"/>
              <w:spacing w:line="240" w:lineRule="auto" w:after="0"/>
            </w:pPr>
            <w:r>
              <w:rPr>
                <w:rFonts w:ascii="Times New Roman" w:hAnsi="Times New Roman" w:cs="Times New Roman" w:eastAsia="Times New Roman"/>
                <w:sz w:val="20"/>
                <w:szCs w:val="20"/>
              </w:rPr>
              <w:t xml:space="preserve">Mozaffarian 2004</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0.62 (0.49–0.78)</w:t>
            </w:r>
          </w:p>
        </w:tc>
        <w:tc>
          <w:tcPr/>
          <w:p>
            <w:pPr>
              <w:pStyle w:val="Normal"/>
              <w:jc w:val="left"/>
              <w:spacing w:line="240" w:lineRule="auto" w:after="0"/>
            </w:pPr>
            <w:r>
              <w:rPr>
                <w:rFonts w:ascii="Times New Roman" w:hAnsi="Times New Roman" w:cs="Times New Roman" w:eastAsia="Times New Roman"/>
                <w:sz w:val="20"/>
                <w:szCs w:val="20"/>
              </w:rPr>
              <w:t xml:space="preserve">1,153</w:t>
            </w:r>
          </w:p>
        </w:tc>
        <w:tc>
          <w:tcPr/>
          <w:p>
            <w:pPr>
              <w:pStyle w:val="Normal"/>
              <w:jc w:val="left"/>
              <w:spacing w:line="240" w:lineRule="auto" w:after="0"/>
            </w:pPr>
            <w:r>
              <w:rPr>
                <w:rFonts w:ascii="Times New Roman" w:hAnsi="Times New Roman" w:cs="Times New Roman" w:eastAsia="Times New Roman"/>
                <w:sz w:val="20"/>
                <w:szCs w:val="20"/>
              </w:rPr>
              <w:t xml:space="preserve">356</w:t>
            </w:r>
          </w:p>
        </w:tc>
      </w:tr>
      <w:tr>
        <w:tc>
          <w:tcPr/>
          <w:p>
            <w:pPr>
              <w:pStyle w:val="Normal"/>
              <w:jc w:val="left"/>
              <w:spacing w:line="240" w:lineRule="auto" w:after="0"/>
            </w:pPr>
            <w:r>
              <w:rPr>
                <w:rFonts w:ascii="Times New Roman" w:hAnsi="Times New Roman" w:cs="Times New Roman" w:eastAsia="Times New Roman"/>
                <w:sz w:val="20"/>
                <w:szCs w:val="20"/>
              </w:rPr>
              <w:t xml:space="preserve">Horwich 2004</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0.59 (0.44–0.78)</w:t>
            </w:r>
          </w:p>
        </w:tc>
        <w:tc>
          <w:tcPr/>
          <w:p>
            <w:pPr>
              <w:pStyle w:val="Normal"/>
              <w:jc w:val="left"/>
              <w:spacing w:line="240" w:lineRule="auto" w:after="0"/>
            </w:pPr>
            <w:r>
              <w:rPr>
                <w:rFonts w:ascii="Times New Roman" w:hAnsi="Times New Roman" w:cs="Times New Roman" w:eastAsia="Times New Roman"/>
                <w:sz w:val="20"/>
                <w:szCs w:val="20"/>
              </w:rPr>
              <w:t xml:space="preserve">551</w:t>
            </w:r>
          </w:p>
        </w:tc>
        <w:tc>
          <w:tcPr/>
          <w:p>
            <w:pPr>
              <w:pStyle w:val="Normal"/>
              <w:jc w:val="left"/>
              <w:spacing w:line="240" w:lineRule="auto" w:after="0"/>
            </w:pPr>
            <w:r>
              <w:rPr>
                <w:rFonts w:ascii="Times New Roman" w:hAnsi="Times New Roman" w:cs="Times New Roman" w:eastAsia="Times New Roman"/>
                <w:sz w:val="20"/>
                <w:szCs w:val="20"/>
              </w:rPr>
              <w:t xml:space="preserve">189</w:t>
            </w:r>
          </w:p>
        </w:tc>
      </w:tr>
      <w:tr>
        <w:tc>
          <w:tcPr/>
          <w:p>
            <w:pPr>
              <w:pStyle w:val="Normal"/>
              <w:jc w:val="left"/>
              <w:spacing w:line="240" w:lineRule="auto" w:after="0"/>
            </w:pPr>
            <w:r>
              <w:rPr>
                <w:rFonts w:ascii="Times New Roman" w:hAnsi="Times New Roman" w:cs="Times New Roman" w:eastAsia="Times New Roman"/>
                <w:sz w:val="20"/>
                <w:szCs w:val="20"/>
              </w:rPr>
              <w:t xml:space="preserve">Go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0.69 (0.63–0.75)</w:t>
            </w:r>
          </w:p>
        </w:tc>
        <w:tc>
          <w:tcPr/>
          <w:p>
            <w:pPr>
              <w:pStyle w:val="Normal"/>
              <w:jc w:val="left"/>
              <w:spacing w:line="240" w:lineRule="auto" w:after="0"/>
            </w:pPr>
            <w:r>
              <w:rPr>
                <w:rFonts w:ascii="Times New Roman" w:hAnsi="Times New Roman" w:cs="Times New Roman" w:eastAsia="Times New Roman"/>
                <w:sz w:val="20"/>
                <w:szCs w:val="20"/>
              </w:rPr>
              <w:t xml:space="preserve">24,598</w:t>
            </w:r>
          </w:p>
        </w:tc>
        <w:tc>
          <w:tcPr/>
          <w:p>
            <w:pPr>
              <w:pStyle w:val="Normal"/>
              <w:jc w:val="left"/>
              <w:spacing w:line="240" w:lineRule="auto" w:after="0"/>
            </w:pPr>
            <w:r>
              <w:rPr>
                <w:rFonts w:ascii="Times New Roman" w:hAnsi="Times New Roman" w:cs="Times New Roman" w:eastAsia="Times New Roman"/>
                <w:sz w:val="20"/>
                <w:szCs w:val="20"/>
              </w:rPr>
              <w:t xml:space="preserve">5,765</w:t>
            </w:r>
          </w:p>
        </w:tc>
      </w:tr>
      <w:tr>
        <w:tc>
          <w:tcPr/>
          <w:p>
            <w:pPr>
              <w:pStyle w:val="Normal"/>
              <w:jc w:val="left"/>
              <w:spacing w:line="240" w:lineRule="auto" w:after="0"/>
            </w:pPr>
            <w:r>
              <w:rPr>
                <w:rFonts w:ascii="Times New Roman" w:hAnsi="Times New Roman" w:cs="Times New Roman" w:eastAsia="Times New Roman"/>
                <w:sz w:val="20"/>
                <w:szCs w:val="20"/>
              </w:rPr>
              <w:t xml:space="preserve">Foody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0.82 (0.79–0.85)</w:t>
            </w:r>
          </w:p>
        </w:tc>
        <w:tc>
          <w:tcPr/>
          <w:p>
            <w:pPr>
              <w:pStyle w:val="Normal"/>
              <w:jc w:val="left"/>
              <w:spacing w:line="240" w:lineRule="auto" w:after="0"/>
            </w:pPr>
            <w:r>
              <w:rPr>
                <w:rFonts w:ascii="Times New Roman" w:hAnsi="Times New Roman" w:cs="Times New Roman" w:eastAsia="Times New Roman"/>
                <w:sz w:val="20"/>
                <w:szCs w:val="20"/>
              </w:rPr>
              <w:t xml:space="preserve">54,960</w:t>
            </w:r>
          </w:p>
        </w:tc>
        <w:tc>
          <w:tcPr/>
          <w:p>
            <w:pPr>
              <w:pStyle w:val="Normal"/>
              <w:jc w:val="left"/>
              <w:spacing w:line="240" w:lineRule="auto" w:after="0"/>
            </w:pPr>
            <w:r>
              <w:rPr>
                <w:rFonts w:ascii="Times New Roman" w:hAnsi="Times New Roman" w:cs="Times New Roman" w:eastAsia="Times New Roman"/>
                <w:sz w:val="20"/>
                <w:szCs w:val="20"/>
              </w:rPr>
              <w:t xml:space="preserve">16,573</w:t>
            </w:r>
          </w:p>
        </w:tc>
      </w:tr>
      <w:tr>
        <w:tc>
          <w:tcPr/>
          <w:p>
            <w:pPr>
              <w:pStyle w:val="Normal"/>
              <w:jc w:val="left"/>
              <w:spacing w:line="240" w:lineRule="auto" w:after="0"/>
            </w:pPr>
            <w:r>
              <w:rPr>
                <w:rFonts w:ascii="Times New Roman" w:hAnsi="Times New Roman" w:cs="Times New Roman" w:eastAsia="Times New Roman"/>
                <w:sz w:val="20"/>
                <w:szCs w:val="20"/>
              </w:rPr>
              <w:t xml:space="preserve">Anker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0.75 (0.66–0.85)</w:t>
            </w:r>
          </w:p>
        </w:tc>
        <w:tc>
          <w:tcPr/>
          <w:p>
            <w:pPr>
              <w:pStyle w:val="Normal"/>
              <w:jc w:val="left"/>
              <w:spacing w:line="240" w:lineRule="auto" w:after="0"/>
            </w:pPr>
            <w:r>
              <w:rPr>
                <w:rFonts w:ascii="Times New Roman" w:hAnsi="Times New Roman" w:cs="Times New Roman" w:eastAsia="Times New Roman"/>
                <w:sz w:val="20"/>
                <w:szCs w:val="20"/>
              </w:rPr>
              <w:t xml:space="preserve">10,510</w:t>
            </w:r>
          </w:p>
        </w:tc>
        <w:tc>
          <w:tcPr/>
          <w:p>
            <w:pPr>
              <w:pStyle w:val="Normal"/>
              <w:jc w:val="left"/>
              <w:spacing w:line="240" w:lineRule="auto" w:after="0"/>
            </w:pPr>
            <w:r>
              <w:rPr>
                <w:rFonts w:ascii="Times New Roman" w:hAnsi="Times New Roman" w:cs="Times New Roman" w:eastAsia="Times New Roman"/>
                <w:sz w:val="20"/>
                <w:szCs w:val="20"/>
              </w:rPr>
              <w:t xml:space="preserve">2,890</w:t>
            </w:r>
          </w:p>
        </w:tc>
      </w:tr>
      <w:tr>
        <w:tc>
          <w:tcPr/>
          <w:p>
            <w:pPr>
              <w:pStyle w:val="Normal"/>
              <w:jc w:val="left"/>
              <w:spacing w:line="240" w:lineRule="auto" w:after="0"/>
            </w:pPr>
            <w:r>
              <w:rPr>
                <w:rFonts w:ascii="Times New Roman" w:hAnsi="Times New Roman" w:cs="Times New Roman" w:eastAsia="Times New Roman"/>
                <w:sz w:val="20"/>
                <w:szCs w:val="20"/>
              </w:rPr>
              <w:t xml:space="preserve">CORONA 2007</w:t>
            </w:r>
          </w:p>
        </w:tc>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0.95 (0.86–1.05)</w:t>
            </w:r>
          </w:p>
        </w:tc>
        <w:tc>
          <w:tcPr/>
          <w:p>
            <w:pPr>
              <w:pStyle w:val="Normal"/>
              <w:jc w:val="left"/>
              <w:spacing w:line="240" w:lineRule="auto" w:after="0"/>
            </w:pPr>
            <w:r>
              <w:rPr>
                <w:rFonts w:ascii="Times New Roman" w:hAnsi="Times New Roman" w:cs="Times New Roman" w:eastAsia="Times New Roman"/>
                <w:sz w:val="20"/>
                <w:szCs w:val="20"/>
              </w:rPr>
              <w:t xml:space="preserve">5,011</w:t>
            </w:r>
          </w:p>
        </w:tc>
        <w:tc>
          <w:tcPr/>
          <w:p>
            <w:pPr>
              <w:pStyle w:val="Normal"/>
              <w:jc w:val="left"/>
              <w:spacing w:line="240" w:lineRule="auto" w:after="0"/>
            </w:pPr>
            <w:r>
              <w:rPr>
                <w:rFonts w:ascii="Times New Roman" w:hAnsi="Times New Roman" w:cs="Times New Roman" w:eastAsia="Times New Roman"/>
                <w:sz w:val="20"/>
                <w:szCs w:val="20"/>
              </w:rPr>
              <w:t xml:space="preserve">728</w:t>
            </w:r>
          </w:p>
        </w:tc>
      </w:tr>
      <w:tr>
        <w:tc>
          <w:tcPr/>
          <w:p>
            <w:pPr>
              <w:pStyle w:val="Normal"/>
              <w:jc w:val="left"/>
              <w:spacing w:line="240" w:lineRule="auto" w:after="0"/>
            </w:pPr>
            <w:r>
              <w:rPr>
                <w:rFonts w:ascii="Times New Roman" w:hAnsi="Times New Roman" w:cs="Times New Roman" w:eastAsia="Times New Roman"/>
                <w:sz w:val="20"/>
                <w:szCs w:val="20"/>
              </w:rPr>
              <w:t xml:space="preserve">GISSI-HF 2008</w:t>
            </w:r>
          </w:p>
        </w:tc>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1.00 (0.90–1.12)</w:t>
            </w:r>
          </w:p>
        </w:tc>
        <w:tc>
          <w:tcPr/>
          <w:p>
            <w:pPr>
              <w:pStyle w:val="Normal"/>
              <w:jc w:val="left"/>
              <w:spacing w:line="240" w:lineRule="auto" w:after="0"/>
            </w:pPr>
            <w:r>
              <w:rPr>
                <w:rFonts w:ascii="Times New Roman" w:hAnsi="Times New Roman" w:cs="Times New Roman" w:eastAsia="Times New Roman"/>
                <w:sz w:val="20"/>
                <w:szCs w:val="20"/>
              </w:rPr>
              <w:t xml:space="preserve">4,574</w:t>
            </w:r>
          </w:p>
        </w:tc>
        <w:tc>
          <w:tcPr/>
          <w:p>
            <w:pPr>
              <w:pStyle w:val="Normal"/>
              <w:jc w:val="left"/>
              <w:spacing w:line="240" w:lineRule="auto" w:after="0"/>
            </w:pPr>
            <w:r>
              <w:rPr>
                <w:rFonts w:ascii="Times New Roman" w:hAnsi="Times New Roman" w:cs="Times New Roman" w:eastAsia="Times New Roman"/>
                <w:sz w:val="20"/>
                <w:szCs w:val="20"/>
              </w:rPr>
              <w:t xml:space="preserve">657</w:t>
            </w:r>
          </w:p>
        </w:tc>
      </w:tr>
    </w:tbl>
    <w:p>
      <w:pPr>
        <w:jc w:val="center"/>
      </w:pPr>
      <w:r>
        <w:drawing>
          <wp:inline xmlns:a="http://schemas.openxmlformats.org/drawingml/2006/main" xmlns:pic="http://schemas.openxmlformats.org/drawingml/2006/picture">
            <wp:extent cx="5029200" cy="2063370"/>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0"/>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99.1% under the RCT event rate; for a more modest effect (HR = 0.85), power fell from 84.6% to 58.3%—a 26 percentage-point reduction attributable to event dilution (Fig. 3B).</w:t>
      </w:r>
    </w:p>
    <w:p>
      <w:pPr>
        <w:jc w:val="center"/>
      </w:pPr>
      <w:r>
        <w:drawing>
          <wp:inline xmlns:a="http://schemas.openxmlformats.org/drawingml/2006/main" xmlns:pic="http://schemas.openxmlformats.org/drawingml/2006/picture">
            <wp:extent cx="5029200" cy="2097128"/>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1"/>
                    <a:stretch>
                      <a:fillRect/>
                    </a:stretch>
                  </pic:blipFill>
                  <pic:spPr>
                    <a:xfrm>
                      <a:off x="0" y="0"/>
                      <a:ext cx="5029200" cy="2097128"/>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 TSA under a fixed-effect accumulation produced a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0.80, below the conventional boundary of 1.96; under a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O’Brien-Fleming boundary of 0.27 (Fig. 5). This divergence reflects era-dependent treatment-effect heterogeneity driven by the ISIS-4 result.</w:t>
      </w:r>
    </w:p>
    <w:p>
      <w:pPr>
        <w:jc w:val="center"/>
      </w:pPr>
      <w:r>
        <w:drawing>
          <wp:inline xmlns:a="http://schemas.openxmlformats.org/drawingml/2006/main" xmlns:pic="http://schemas.openxmlformats.org/drawingml/2006/picture">
            <wp:extent cx="5029200" cy="5289798"/>
            <wp:docPr id="4" name="Picture 4"/>
            <wp:cNvGraphicFramePr>
              <a:graphicFrameLocks noChangeAspect="1"/>
            </wp:cNvGraphicFramePr>
            <a:graphic>
              <a:graphicData uri="http://schemas.openxmlformats.org/drawingml/2006/picture">
                <pic:pic>
                  <pic:nvPicPr>
                    <pic:cNvPr id="0" name="fig4_forest_plot_mg.png"/>
                    <pic:cNvPicPr/>
                  </pic:nvPicPr>
                  <pic:blipFill>
                    <a:blip r:embed="rId12"/>
                    <a:stretch>
                      <a:fillRect/>
                    </a:stretch>
                  </pic:blipFill>
                  <pic:spPr>
                    <a:xfrm>
                      <a:off x="0" y="0"/>
                      <a:ext cx="5029200" cy="5289798"/>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 for magnesium in AMI. Individual study odds ratios are shown with 95% confidence intervals, color-coded by era. Pooled estimates include frequentist random-effects (pre-ISIS-4 and all trials) and Bayesian integrated estimates at selected discounting levels (α = 0.3, 0.5, 1.0).</w:t>
      </w:r>
    </w:p>
    <w:p>
      <w:pPr>
        <w:jc w:val="center"/>
      </w:pPr>
      <w:r>
        <w:drawing>
          <wp:inline xmlns:a="http://schemas.openxmlformats.org/drawingml/2006/main" xmlns:pic="http://schemas.openxmlformats.org/drawingml/2006/picture">
            <wp:extent cx="5029200" cy="3008295"/>
            <wp:docPr id="5" name="Picture 5"/>
            <wp:cNvGraphicFramePr>
              <a:graphicFrameLocks noChangeAspect="1"/>
            </wp:cNvGraphicFramePr>
            <a:graphic>
              <a:graphicData uri="http://schemas.openxmlformats.org/drawingml/2006/picture">
                <pic:pic>
                  <pic:nvPicPr>
                    <pic:cNvPr id="0" name="fig5_tsa_magnesium.png"/>
                    <pic:cNvPicPr/>
                  </pic:nvPicPr>
                  <pic:blipFill>
                    <a:blip r:embed="rId13"/>
                    <a:stretch>
                      <a:fillRect/>
                    </a:stretch>
                  </pic:blipFill>
                  <pic:spPr>
                    <a:xfrm>
                      <a:off x="0" y="0"/>
                      <a:ext cx="5029200" cy="3008295"/>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6).</w:t>
      </w:r>
    </w:p>
    <w:p>
      <w:pPr>
        <w:jc w:val="center"/>
      </w:pPr>
      <w:r>
        <w:drawing>
          <wp:inline xmlns:a="http://schemas.openxmlformats.org/drawingml/2006/main" xmlns:pic="http://schemas.openxmlformats.org/drawingml/2006/picture">
            <wp:extent cx="5029200" cy="4392292"/>
            <wp:docPr id="6" name="Picture 6"/>
            <wp:cNvGraphicFramePr>
              <a:graphicFrameLocks noChangeAspect="1"/>
            </wp:cNvGraphicFramePr>
            <a:graphic>
              <a:graphicData uri="http://schemas.openxmlformats.org/drawingml/2006/picture">
                <pic:pic>
                  <pic:nvPicPr>
                    <pic:cNvPr id="0" name="fig6_forest_statins.png"/>
                    <pic:cNvPicPr/>
                  </pic:nvPicPr>
                  <pic:blipFill>
                    <a:blip r:embed="rId14"/>
                    <a:stretch>
                      <a:fillRect/>
                    </a:stretch>
                  </pic:blipFill>
                  <pic:spPr>
                    <a:xfrm>
                      <a:off x="0" y="0"/>
                      <a:ext cx="5029200" cy="4392292"/>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Forest plot for statins in heart failure. Individual study hazard ratios are shown with 95% confidence intervals, grouped by design. Pooled estimates include design-specific frequentist pooling and KOTHA-integrated estimates at selected discounting levels (α = 0.1, 0.3, 0.5).</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(Table 5)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1.11 with 30.6%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0.73 (95% CrI: 0.28-2.09), with 77% probability of benefit (Fig. 7A). For statins (Table 6),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60.9% and the probability of a clinically meaningful benefit (HR &lt; 0.90) was 17.7%.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83.7% and 65.7%, respectively (Fig. 7B). Even with moderate borrowing from observational evidence, conclusions remained uncertain.</w:t>
      </w:r>
    </w:p>
    <w:p>
      <w:r>
        <w:rPr>
          <w:rFonts w:ascii="Times New Roman" w:hAnsi="Times New Roman"/>
          <w:b/>
          <w:i w:val="0"/>
          <w:sz w:val="24"/>
        </w:rPr>
        <w:t>Table 5: Bayesian integration --- Magnesium in AMI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OR (95% CrI)</w:t>
            </w:r>
          </w:p>
        </w:tc>
        <w:tc>
          <w:tcPr/>
          <w:p>
            <w:pPr>
              <w:pStyle w:val="Normal"/>
              <w:jc w:val="left"/>
              <w:spacing w:line="240" w:lineRule="auto" w:after="0"/>
            </w:pPr>
            <w:r>
              <w:rPr>
                <w:rFonts w:ascii="Times New Roman" w:hAnsi="Times New Roman" w:cs="Times New Roman" w:eastAsia="Times New Roman"/>
                <w:sz w:val="20"/>
                <w:szCs w:val="20"/>
                <w:b/>
              </w:rPr>
              <w:t xml:space="preserve">P(OR &lt; 1)</w:t>
            </w:r>
          </w:p>
        </w:tc>
        <w:tc>
          <w:tcPr/>
          <w:p>
            <w:pPr>
              <w:pStyle w:val="Normal"/>
              <w:jc w:val="left"/>
              <w:spacing w:line="240" w:lineRule="auto" w:after="0"/>
            </w:pPr>
            <w:r>
              <w:rPr>
                <w:rFonts w:ascii="Times New Roman" w:hAnsi="Times New Roman" w:cs="Times New Roman" w:eastAsia="Times New Roman"/>
                <w:sz w:val="20"/>
                <w:szCs w:val="20"/>
                <w:b/>
              </w:rPr>
              <w:t xml:space="preserve">P(OR &lt; 0.90)</w:t>
            </w:r>
          </w:p>
        </w:tc>
        <w:tc>
          <w:tcPr/>
          <w:p>
            <w:pPr>
              <w:pStyle w:val="Normal"/>
              <w:jc w:val="left"/>
              <w:spacing w:line="240" w:lineRule="auto" w:after="0"/>
            </w:pPr>
            <w:r>
              <w:rPr>
                <w:rFonts w:ascii="Times New Roman" w:hAnsi="Times New Roman" w:cs="Times New Roman" w:eastAsia="Times New Roman"/>
                <w:sz w:val="20"/>
                <w:szCs w:val="20"/>
                <w:b/>
              </w:rPr>
              <w:t xml:space="preserve">P(OR &lt; 0.80)</w:t>
            </w:r>
          </w:p>
        </w:tc>
      </w:tr>
      <w:tr>
        <w:tc>
          <w:tcPr/>
          <w:p>
            <w:pPr>
              <w:pStyle w:val="Normal"/>
              <w:jc w:val="left"/>
              <w:spacing w:line="240" w:lineRule="auto" w:after="0"/>
            </w:pPr>
            <w:r>
              <w:rPr>
                <w:rFonts w:ascii="Times New Roman" w:hAnsi="Times New Roman" w:cs="Times New Roman" w:eastAsia="Times New Roman"/>
                <w:sz w:val="20"/>
                <w:szCs w:val="20"/>
              </w:rPr>
              <w:t xml:space="preserve">0.0 (ISIS-4 only)</w:t>
            </w:r>
          </w:p>
        </w:tc>
        <w:tc>
          <w:tcPr/>
          <w:p>
            <w:pPr>
              <w:pStyle w:val="Normal"/>
              <w:jc w:val="left"/>
              <w:spacing w:line="240" w:lineRule="auto" w:after="0"/>
            </w:pPr>
            <w:r>
              <w:rPr>
                <w:rFonts w:ascii="Times New Roman" w:hAnsi="Times New Roman" w:cs="Times New Roman" w:eastAsia="Times New Roman"/>
                <w:sz w:val="20"/>
                <w:szCs w:val="20"/>
              </w:rPr>
              <w:t xml:space="preserve">1.11 (0.43–7.03)</w:t>
            </w:r>
          </w:p>
        </w:tc>
        <w:tc>
          <w:tcPr/>
          <w:p>
            <w:pPr>
              <w:pStyle w:val="Normal"/>
              <w:jc w:val="left"/>
              <w:spacing w:line="240" w:lineRule="auto" w:after="0"/>
            </w:pPr>
            <w:r>
              <w:rPr>
                <w:rFonts w:ascii="Times New Roman" w:hAnsi="Times New Roman" w:cs="Times New Roman" w:eastAsia="Times New Roman"/>
                <w:sz w:val="20"/>
                <w:szCs w:val="20"/>
              </w:rPr>
              <w:t xml:space="preserve">30.6%</w:t>
            </w:r>
          </w:p>
        </w:tc>
        <w:tc>
          <w:tcPr/>
          <w:p>
            <w:pPr>
              <w:pStyle w:val="Normal"/>
              <w:jc w:val="left"/>
              <w:spacing w:line="240" w:lineRule="auto" w:after="0"/>
            </w:pPr>
            <w:r>
              <w:rPr>
                <w:rFonts w:ascii="Times New Roman" w:hAnsi="Times New Roman" w:cs="Times New Roman" w:eastAsia="Times New Roman"/>
                <w:sz w:val="20"/>
                <w:szCs w:val="20"/>
              </w:rPr>
              <w:t xml:space="preserve">22.2%</w:t>
            </w:r>
          </w:p>
        </w:tc>
        <w:tc>
          <w:tcPr/>
          <w:p>
            <w:pPr>
              <w:pStyle w:val="Normal"/>
              <w:jc w:val="left"/>
              <w:spacing w:line="240" w:lineRule="auto" w:after="0"/>
            </w:pPr>
            <w:r>
              <w:rPr>
                <w:rFonts w:ascii="Times New Roman" w:hAnsi="Times New Roman" w:cs="Times New Roman" w:eastAsia="Times New Roman"/>
                <w:sz w:val="20"/>
                <w:szCs w:val="20"/>
              </w:rPr>
              <w:t xml:space="preserve">16.2%</w:t>
            </w:r>
          </w:p>
        </w:tc>
      </w:tr>
      <w:tr>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1.00 (0.31–3.51)</w:t>
            </w:r>
          </w:p>
        </w:tc>
        <w:tc>
          <w:tcPr/>
          <w:p>
            <w:pPr>
              <w:pStyle w:val="Normal"/>
              <w:jc w:val="left"/>
              <w:spacing w:line="240" w:lineRule="auto" w:after="0"/>
            </w:pPr>
            <w:r>
              <w:rPr>
                <w:rFonts w:ascii="Times New Roman" w:hAnsi="Times New Roman" w:cs="Times New Roman" w:eastAsia="Times New Roman"/>
                <w:sz w:val="20"/>
                <w:szCs w:val="20"/>
              </w:rPr>
              <w:t xml:space="preserve">50.7%</w:t>
            </w:r>
          </w:p>
        </w:tc>
        <w:tc>
          <w:tcPr/>
          <w:p>
            <w:pPr>
              <w:pStyle w:val="Normal"/>
              <w:jc w:val="left"/>
              <w:spacing w:line="240" w:lineRule="auto" w:after="0"/>
            </w:pPr>
            <w:r>
              <w:rPr>
                <w:rFonts w:ascii="Times New Roman" w:hAnsi="Times New Roman" w:cs="Times New Roman" w:eastAsia="Times New Roman"/>
                <w:sz w:val="20"/>
                <w:szCs w:val="20"/>
              </w:rPr>
              <w:t xml:space="preserve">36.6%</w:t>
            </w:r>
          </w:p>
        </w:tc>
        <w:tc>
          <w:tcPr/>
          <w:p>
            <w:pPr>
              <w:pStyle w:val="Normal"/>
              <w:jc w:val="left"/>
              <w:spacing w:line="240" w:lineRule="auto" w:after="0"/>
            </w:pPr>
            <w:r>
              <w:rPr>
                <w:rFonts w:ascii="Times New Roman" w:hAnsi="Times New Roman" w:cs="Times New Roman" w:eastAsia="Times New Roman"/>
                <w:sz w:val="20"/>
                <w:szCs w:val="20"/>
              </w:rPr>
              <w:t xml:space="preserve">27.9%</w:t>
            </w:r>
          </w:p>
        </w:tc>
      </w:tr>
      <w:tr>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0.85 (0.31–2.50)</w:t>
            </w:r>
          </w:p>
        </w:tc>
        <w:tc>
          <w:tcPr/>
          <w:p>
            <w:pPr>
              <w:pStyle w:val="Normal"/>
              <w:jc w:val="left"/>
              <w:spacing w:line="240" w:lineRule="auto" w:after="0"/>
            </w:pPr>
            <w:r>
              <w:rPr>
                <w:rFonts w:ascii="Times New Roman" w:hAnsi="Times New Roman" w:cs="Times New Roman" w:eastAsia="Times New Roman"/>
                <w:sz w:val="20"/>
                <w:szCs w:val="20"/>
              </w:rPr>
              <w:t xml:space="preserve">66.5%</w:t>
            </w:r>
          </w:p>
        </w:tc>
        <w:tc>
          <w:tcPr/>
          <w:p>
            <w:pPr>
              <w:pStyle w:val="Normal"/>
              <w:jc w:val="left"/>
              <w:spacing w:line="240" w:lineRule="auto" w:after="0"/>
            </w:pPr>
            <w:r>
              <w:rPr>
                <w:rFonts w:ascii="Times New Roman" w:hAnsi="Times New Roman" w:cs="Times New Roman" w:eastAsia="Times New Roman"/>
                <w:sz w:val="20"/>
                <w:szCs w:val="20"/>
              </w:rPr>
              <w:t xml:space="preserve">55.0%</w:t>
            </w:r>
          </w:p>
        </w:tc>
        <w:tc>
          <w:tcPr/>
          <w:p>
            <w:pPr>
              <w:pStyle w:val="Normal"/>
              <w:jc w:val="left"/>
              <w:spacing w:line="240" w:lineRule="auto" w:after="0"/>
            </w:pPr>
            <w:r>
              <w:rPr>
                <w:rFonts w:ascii="Times New Roman" w:hAnsi="Times New Roman" w:cs="Times New Roman" w:eastAsia="Times New Roman"/>
                <w:sz w:val="20"/>
                <w:szCs w:val="20"/>
              </w:rPr>
              <w:t xml:space="preserve">45.8%</w:t>
            </w:r>
          </w:p>
        </w:tc>
      </w:tr>
      <w:tr>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0.73 (0.28–2.09)</w:t>
            </w:r>
          </w:p>
        </w:tc>
        <w:tc>
          <w:tcPr/>
          <w:p>
            <w:pPr>
              <w:pStyle w:val="Normal"/>
              <w:jc w:val="left"/>
              <w:spacing w:line="240" w:lineRule="auto" w:after="0"/>
            </w:pPr>
            <w:r>
              <w:rPr>
                <w:rFonts w:ascii="Times New Roman" w:hAnsi="Times New Roman" w:cs="Times New Roman" w:eastAsia="Times New Roman"/>
                <w:sz w:val="20"/>
                <w:szCs w:val="20"/>
              </w:rPr>
              <w:t xml:space="preserve">77.0%</w:t>
            </w:r>
          </w:p>
        </w:tc>
        <w:tc>
          <w:tcPr/>
          <w:p>
            <w:pPr>
              <w:pStyle w:val="Normal"/>
              <w:jc w:val="left"/>
              <w:spacing w:line="240" w:lineRule="auto" w:after="0"/>
            </w:pPr>
            <w:r>
              <w:rPr>
                <w:rFonts w:ascii="Times New Roman" w:hAnsi="Times New Roman" w:cs="Times New Roman" w:eastAsia="Times New Roman"/>
                <w:sz w:val="20"/>
                <w:szCs w:val="20"/>
              </w:rPr>
              <w:t xml:space="preserve">66.3%</w:t>
            </w:r>
          </w:p>
        </w:tc>
        <w:tc>
          <w:tcPr/>
          <w:p>
            <w:pPr>
              <w:pStyle w:val="Normal"/>
              <w:jc w:val="left"/>
              <w:spacing w:line="240" w:lineRule="auto" w:after="0"/>
            </w:pPr>
            <w:r>
              <w:rPr>
                <w:rFonts w:ascii="Times New Roman" w:hAnsi="Times New Roman" w:cs="Times New Roman" w:eastAsia="Times New Roman"/>
                <w:sz w:val="20"/>
                <w:szCs w:val="20"/>
              </w:rPr>
              <w:t xml:space="preserve">56.9%</w:t>
            </w:r>
          </w:p>
        </w:tc>
      </w:tr>
      <w:tr>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0.61 (0.28–1.30)</w:t>
            </w:r>
          </w:p>
        </w:tc>
        <w:tc>
          <w:tcPr/>
          <w:p>
            <w:pPr>
              <w:pStyle w:val="Normal"/>
              <w:jc w:val="left"/>
              <w:spacing w:line="240" w:lineRule="auto" w:after="0"/>
            </w:pPr>
            <w:r>
              <w:rPr>
                <w:rFonts w:ascii="Times New Roman" w:hAnsi="Times New Roman" w:cs="Times New Roman" w:eastAsia="Times New Roman"/>
                <w:sz w:val="20"/>
                <w:szCs w:val="20"/>
              </w:rPr>
              <w:t xml:space="preserve">92.6%</w:t>
            </w:r>
          </w:p>
        </w:tc>
        <w:tc>
          <w:tcPr/>
          <w:p>
            <w:pPr>
              <w:pStyle w:val="Normal"/>
              <w:jc w:val="left"/>
              <w:spacing w:line="240" w:lineRule="auto" w:after="0"/>
            </w:pPr>
            <w:r>
              <w:rPr>
                <w:rFonts w:ascii="Times New Roman" w:hAnsi="Times New Roman" w:cs="Times New Roman" w:eastAsia="Times New Roman"/>
                <w:sz w:val="20"/>
                <w:szCs w:val="20"/>
              </w:rPr>
              <w:t xml:space="preserve">87.3%</w:t>
            </w:r>
          </w:p>
        </w:tc>
        <w:tc>
          <w:tcPr/>
          <w:p>
            <w:pPr>
              <w:pStyle w:val="Normal"/>
              <w:jc w:val="left"/>
              <w:spacing w:line="240" w:lineRule="auto" w:after="0"/>
            </w:pPr>
            <w:r>
              <w:rPr>
                <w:rFonts w:ascii="Times New Roman" w:hAnsi="Times New Roman" w:cs="Times New Roman" w:eastAsia="Times New Roman"/>
                <w:sz w:val="20"/>
                <w:szCs w:val="20"/>
              </w:rPr>
              <w:t xml:space="preserve">77.1%</w:t>
            </w:r>
          </w:p>
        </w:tc>
      </w:tr>
      <w:tr>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0.57 (0.29–1.05)</w:t>
            </w:r>
          </w:p>
        </w:tc>
        <w:tc>
          <w:tcPr/>
          <w:p>
            <w:pPr>
              <w:pStyle w:val="Normal"/>
              <w:jc w:val="left"/>
              <w:spacing w:line="240" w:lineRule="auto" w:after="0"/>
            </w:pPr>
            <w:r>
              <w:rPr>
                <w:rFonts w:ascii="Times New Roman" w:hAnsi="Times New Roman" w:cs="Times New Roman" w:eastAsia="Times New Roman"/>
                <w:sz w:val="20"/>
                <w:szCs w:val="20"/>
              </w:rPr>
              <w:t xml:space="preserve">96.6%</w:t>
            </w:r>
          </w:p>
        </w:tc>
        <w:tc>
          <w:tcPr/>
          <w:p>
            <w:pPr>
              <w:pStyle w:val="Normal"/>
              <w:jc w:val="left"/>
              <w:spacing w:line="240" w:lineRule="auto" w:after="0"/>
            </w:pPr>
            <w:r>
              <w:rPr>
                <w:rFonts w:ascii="Times New Roman" w:hAnsi="Times New Roman" w:cs="Times New Roman" w:eastAsia="Times New Roman"/>
                <w:sz w:val="20"/>
                <w:szCs w:val="20"/>
              </w:rPr>
              <w:t xml:space="preserve">94.1%</w:t>
            </w:r>
          </w:p>
        </w:tc>
        <w:tc>
          <w:tcPr/>
          <w:p>
            <w:pPr>
              <w:pStyle w:val="Normal"/>
              <w:jc w:val="left"/>
              <w:spacing w:line="240" w:lineRule="auto" w:after="0"/>
            </w:pPr>
            <w:r>
              <w:rPr>
                <w:rFonts w:ascii="Times New Roman" w:hAnsi="Times New Roman" w:cs="Times New Roman" w:eastAsia="Times New Roman"/>
                <w:sz w:val="20"/>
                <w:szCs w:val="20"/>
              </w:rPr>
              <w:t xml:space="preserve">87.4%</w:t>
            </w:r>
          </w:p>
        </w:tc>
      </w:tr>
      <w:tr>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0.54 (0.32–0.91)</w:t>
            </w:r>
          </w:p>
        </w:tc>
        <w:tc>
          <w:tcPr/>
          <w:p>
            <w:pPr>
              <w:pStyle w:val="Normal"/>
              <w:jc w:val="left"/>
              <w:spacing w:line="240" w:lineRule="auto" w:after="0"/>
            </w:pPr>
            <w:r>
              <w:rPr>
                <w:rFonts w:ascii="Times New Roman" w:hAnsi="Times New Roman" w:cs="Times New Roman" w:eastAsia="Times New Roman"/>
                <w:sz w:val="20"/>
                <w:szCs w:val="20"/>
              </w:rPr>
              <w:t xml:space="preserve">98.7%</w:t>
            </w:r>
          </w:p>
        </w:tc>
        <w:tc>
          <w:tcPr/>
          <w:p>
            <w:pPr>
              <w:pStyle w:val="Normal"/>
              <w:jc w:val="left"/>
              <w:spacing w:line="240" w:lineRule="auto" w:after="0"/>
            </w:pPr>
            <w:r>
              <w:rPr>
                <w:rFonts w:ascii="Times New Roman" w:hAnsi="Times New Roman" w:cs="Times New Roman" w:eastAsia="Times New Roman"/>
                <w:sz w:val="20"/>
                <w:szCs w:val="20"/>
              </w:rPr>
              <w:t xml:space="preserve">97.2%</w:t>
            </w:r>
          </w:p>
        </w:tc>
        <w:tc>
          <w:tcPr/>
          <w:p>
            <w:pPr>
              <w:pStyle w:val="Normal"/>
              <w:jc w:val="left"/>
              <w:spacing w:line="240" w:lineRule="auto" w:after="0"/>
            </w:pPr>
            <w:r>
              <w:rPr>
                <w:rFonts w:ascii="Times New Roman" w:hAnsi="Times New Roman" w:cs="Times New Roman" w:eastAsia="Times New Roman"/>
                <w:sz w:val="20"/>
                <w:szCs w:val="20"/>
              </w:rPr>
              <w:t xml:space="preserve">93.5%</w:t>
            </w:r>
          </w:p>
        </w:tc>
      </w:tr>
    </w:tbl>
    <w:p>
      <w:r>
        <w:rPr>
          <w:rFonts w:ascii="Times New Roman" w:hAnsi="Times New Roman"/>
          <w:b/>
          <w:i w:val="0"/>
          <w:sz w:val="24"/>
        </w:rPr>
        <w:t>Table 6: Bayesian integration --- Statins in HF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HR (95% CrI)</w:t>
            </w:r>
          </w:p>
        </w:tc>
        <w:tc>
          <w:tcPr/>
          <w:p>
            <w:pPr>
              <w:pStyle w:val="Normal"/>
              <w:jc w:val="left"/>
              <w:spacing w:line="240" w:lineRule="auto" w:after="0"/>
            </w:pPr>
            <w:r>
              <w:rPr>
                <w:rFonts w:ascii="Times New Roman" w:hAnsi="Times New Roman" w:cs="Times New Roman" w:eastAsia="Times New Roman"/>
                <w:sz w:val="20"/>
                <w:szCs w:val="20"/>
                <w:b/>
              </w:rPr>
              <w:t xml:space="preserve">P(HR &lt; 1)</w:t>
            </w:r>
          </w:p>
        </w:tc>
        <w:tc>
          <w:tcPr/>
          <w:p>
            <w:pPr>
              <w:pStyle w:val="Normal"/>
              <w:jc w:val="left"/>
              <w:spacing w:line="240" w:lineRule="auto" w:after="0"/>
            </w:pPr>
            <w:r>
              <w:rPr>
                <w:rFonts w:ascii="Times New Roman" w:hAnsi="Times New Roman" w:cs="Times New Roman" w:eastAsia="Times New Roman"/>
                <w:sz w:val="20"/>
                <w:szCs w:val="20"/>
                <w:b/>
              </w:rPr>
              <w:t xml:space="preserve">P(HR &lt; 0.90)</w:t>
            </w:r>
          </w:p>
        </w:tc>
        <w:tc>
          <w:tcPr/>
          <w:p>
            <w:pPr>
              <w:pStyle w:val="Normal"/>
              <w:jc w:val="left"/>
              <w:spacing w:line="240" w:lineRule="auto" w:after="0"/>
            </w:pPr>
            <w:r>
              <w:rPr>
                <w:rFonts w:ascii="Times New Roman" w:hAnsi="Times New Roman" w:cs="Times New Roman" w:eastAsia="Times New Roman"/>
                <w:sz w:val="20"/>
                <w:szCs w:val="20"/>
                <w:b/>
              </w:rPr>
              <w:t xml:space="preserve">P(HR &lt; 0.80)</w:t>
            </w:r>
          </w:p>
        </w:tc>
      </w:tr>
      <w:tr>
        <w:tc>
          <w:tcPr/>
          <w:p>
            <w:pPr>
              <w:pStyle w:val="Normal"/>
              <w:jc w:val="left"/>
              <w:spacing w:line="240" w:lineRule="auto" w:after="0"/>
            </w:pPr>
            <w:r>
              <w:rPr>
                <w:rFonts w:ascii="Times New Roman" w:hAnsi="Times New Roman" w:cs="Times New Roman" w:eastAsia="Times New Roman"/>
                <w:sz w:val="20"/>
                <w:szCs w:val="20"/>
              </w:rPr>
              <w:t xml:space="preserve">0.0 (RCTs only)</w:t>
            </w:r>
          </w:p>
        </w:tc>
        <w:tc>
          <w:tcPr/>
          <w:p>
            <w:pPr>
              <w:pStyle w:val="Normal"/>
              <w:jc w:val="left"/>
              <w:spacing w:line="240" w:lineRule="auto" w:after="0"/>
            </w:pPr>
            <w:r>
              <w:rPr>
                <w:rFonts w:ascii="Times New Roman" w:hAnsi="Times New Roman" w:cs="Times New Roman" w:eastAsia="Times New Roman"/>
                <w:sz w:val="20"/>
                <w:szCs w:val="20"/>
              </w:rPr>
              <w:t xml:space="preserve">0.98 (0.63–2.35)</w:t>
            </w:r>
          </w:p>
        </w:tc>
        <w:tc>
          <w:tcPr/>
          <w:p>
            <w:pPr>
              <w:pStyle w:val="Normal"/>
              <w:jc w:val="left"/>
              <w:spacing w:line="240" w:lineRule="auto" w:after="0"/>
            </w:pPr>
            <w:r>
              <w:rPr>
                <w:rFonts w:ascii="Times New Roman" w:hAnsi="Times New Roman" w:cs="Times New Roman" w:eastAsia="Times New Roman"/>
                <w:sz w:val="20"/>
                <w:szCs w:val="20"/>
              </w:rPr>
              <w:t xml:space="preserve">60.9%</w:t>
            </w:r>
          </w:p>
        </w:tc>
        <w:tc>
          <w:tcPr/>
          <w:p>
            <w:pPr>
              <w:pStyle w:val="Normal"/>
              <w:jc w:val="left"/>
              <w:spacing w:line="240" w:lineRule="auto" w:after="0"/>
            </w:pPr>
            <w:r>
              <w:rPr>
                <w:rFonts w:ascii="Times New Roman" w:hAnsi="Times New Roman" w:cs="Times New Roman" w:eastAsia="Times New Roman"/>
                <w:sz w:val="20"/>
                <w:szCs w:val="20"/>
              </w:rPr>
              <w:t xml:space="preserve">17.7%</w:t>
            </w:r>
          </w:p>
        </w:tc>
        <w:tc>
          <w:tcPr/>
          <w:p>
            <w:pPr>
              <w:pStyle w:val="Normal"/>
              <w:jc w:val="left"/>
              <w:spacing w:line="240" w:lineRule="auto" w:after="0"/>
            </w:pPr>
            <w:r>
              <w:rPr>
                <w:rFonts w:ascii="Times New Roman" w:hAnsi="Times New Roman" w:cs="Times New Roman" w:eastAsia="Times New Roman"/>
                <w:sz w:val="20"/>
                <w:szCs w:val="20"/>
              </w:rPr>
              <w:t xml:space="preserve">9.1%</w:t>
            </w:r>
          </w:p>
        </w:tc>
      </w:tr>
      <w:tr>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0.92 (0.63–2.19)</w:t>
            </w:r>
          </w:p>
        </w:tc>
        <w:tc>
          <w:tcPr/>
          <w:p>
            <w:pPr>
              <w:pStyle w:val="Normal"/>
              <w:jc w:val="left"/>
              <w:spacing w:line="240" w:lineRule="auto" w:after="0"/>
            </w:pPr>
            <w:r>
              <w:rPr>
                <w:rFonts w:ascii="Times New Roman" w:hAnsi="Times New Roman" w:cs="Times New Roman" w:eastAsia="Times New Roman"/>
                <w:sz w:val="20"/>
                <w:szCs w:val="20"/>
              </w:rPr>
              <w:t xml:space="preserve">70.4%</w:t>
            </w:r>
          </w:p>
        </w:tc>
        <w:tc>
          <w:tcPr/>
          <w:p>
            <w:pPr>
              <w:pStyle w:val="Normal"/>
              <w:jc w:val="left"/>
              <w:spacing w:line="240" w:lineRule="auto" w:after="0"/>
            </w:pPr>
            <w:r>
              <w:rPr>
                <w:rFonts w:ascii="Times New Roman" w:hAnsi="Times New Roman" w:cs="Times New Roman" w:eastAsia="Times New Roman"/>
                <w:sz w:val="20"/>
                <w:szCs w:val="20"/>
              </w:rPr>
              <w:t xml:space="preserve">43.5%</w:t>
            </w:r>
          </w:p>
        </w:tc>
        <w:tc>
          <w:tcPr/>
          <w:p>
            <w:pPr>
              <w:pStyle w:val="Normal"/>
              <w:jc w:val="left"/>
              <w:spacing w:line="240" w:lineRule="auto" w:after="0"/>
            </w:pPr>
            <w:r>
              <w:rPr>
                <w:rFonts w:ascii="Times New Roman" w:hAnsi="Times New Roman" w:cs="Times New Roman" w:eastAsia="Times New Roman"/>
                <w:sz w:val="20"/>
                <w:szCs w:val="20"/>
              </w:rPr>
              <w:t xml:space="preserve">17.7%</w:t>
            </w:r>
          </w:p>
        </w:tc>
      </w:tr>
      <w:tr>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0.88 (0.60–1.80)</w:t>
            </w:r>
          </w:p>
        </w:tc>
        <w:tc>
          <w:tcPr/>
          <w:p>
            <w:pPr>
              <w:pStyle w:val="Normal"/>
              <w:jc w:val="left"/>
              <w:spacing w:line="240" w:lineRule="auto" w:after="0"/>
            </w:pPr>
            <w:r>
              <w:rPr>
                <w:rFonts w:ascii="Times New Roman" w:hAnsi="Times New Roman" w:cs="Times New Roman" w:eastAsia="Times New Roman"/>
                <w:sz w:val="20"/>
                <w:szCs w:val="20"/>
              </w:rPr>
              <w:t xml:space="preserve">78.4%</w:t>
            </w:r>
          </w:p>
        </w:tc>
        <w:tc>
          <w:tcPr/>
          <w:p>
            <w:pPr>
              <w:pStyle w:val="Normal"/>
              <w:jc w:val="left"/>
              <w:spacing w:line="240" w:lineRule="auto" w:after="0"/>
            </w:pPr>
            <w:r>
              <w:rPr>
                <w:rFonts w:ascii="Times New Roman" w:hAnsi="Times New Roman" w:cs="Times New Roman" w:eastAsia="Times New Roman"/>
                <w:sz w:val="20"/>
                <w:szCs w:val="20"/>
              </w:rPr>
              <w:t xml:space="preserve">57.0%</w:t>
            </w:r>
          </w:p>
        </w:tc>
        <w:tc>
          <w:tcPr/>
          <w:p>
            <w:pPr>
              <w:pStyle w:val="Normal"/>
              <w:jc w:val="left"/>
              <w:spacing w:line="240" w:lineRule="auto" w:after="0"/>
            </w:pPr>
            <w:r>
              <w:rPr>
                <w:rFonts w:ascii="Times New Roman" w:hAnsi="Times New Roman" w:cs="Times New Roman" w:eastAsia="Times New Roman"/>
                <w:sz w:val="20"/>
                <w:szCs w:val="20"/>
              </w:rPr>
              <w:t xml:space="preserve">26.0%</w:t>
            </w:r>
          </w:p>
        </w:tc>
      </w:tr>
      <w:tr>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0.85 (0.59–1.57)</w:t>
            </w:r>
          </w:p>
        </w:tc>
        <w:tc>
          <w:tcPr/>
          <w:p>
            <w:pPr>
              <w:pStyle w:val="Normal"/>
              <w:jc w:val="left"/>
              <w:spacing w:line="240" w:lineRule="auto" w:after="0"/>
            </w:pPr>
            <w:r>
              <w:rPr>
                <w:rFonts w:ascii="Times New Roman" w:hAnsi="Times New Roman" w:cs="Times New Roman" w:eastAsia="Times New Roman"/>
                <w:sz w:val="20"/>
                <w:szCs w:val="20"/>
              </w:rPr>
              <w:t xml:space="preserve">83.7%</w:t>
            </w:r>
          </w:p>
        </w:tc>
        <w:tc>
          <w:tcPr/>
          <w:p>
            <w:pPr>
              <w:pStyle w:val="Normal"/>
              <w:jc w:val="left"/>
              <w:spacing w:line="240" w:lineRule="auto" w:after="0"/>
            </w:pPr>
            <w:r>
              <w:rPr>
                <w:rFonts w:ascii="Times New Roman" w:hAnsi="Times New Roman" w:cs="Times New Roman" w:eastAsia="Times New Roman"/>
                <w:sz w:val="20"/>
                <w:szCs w:val="20"/>
              </w:rPr>
              <w:t xml:space="preserve">65.7%</w:t>
            </w:r>
          </w:p>
        </w:tc>
        <w:tc>
          <w:tcPr/>
          <w:p>
            <w:pPr>
              <w:pStyle w:val="Normal"/>
              <w:jc w:val="left"/>
              <w:spacing w:line="240" w:lineRule="auto" w:after="0"/>
            </w:pPr>
            <w:r>
              <w:rPr>
                <w:rFonts w:ascii="Times New Roman" w:hAnsi="Times New Roman" w:cs="Times New Roman" w:eastAsia="Times New Roman"/>
                <w:sz w:val="20"/>
                <w:szCs w:val="20"/>
              </w:rPr>
              <w:t xml:space="preserve">32.8%</w:t>
            </w:r>
          </w:p>
        </w:tc>
      </w:tr>
      <w:tr>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0.82 (0.62–1.15)</w:t>
            </w:r>
          </w:p>
        </w:tc>
        <w:tc>
          <w:tcPr/>
          <w:p>
            <w:pPr>
              <w:pStyle w:val="Normal"/>
              <w:jc w:val="left"/>
              <w:spacing w:line="240" w:lineRule="auto" w:after="0"/>
            </w:pPr>
            <w:r>
              <w:rPr>
                <w:rFonts w:ascii="Times New Roman" w:hAnsi="Times New Roman" w:cs="Times New Roman" w:eastAsia="Times New Roman"/>
                <w:sz w:val="20"/>
                <w:szCs w:val="20"/>
              </w:rPr>
              <w:t xml:space="preserve">91.9%</w:t>
            </w:r>
          </w:p>
        </w:tc>
        <w:tc>
          <w:tcPr/>
          <w:p>
            <w:pPr>
              <w:pStyle w:val="Normal"/>
              <w:jc w:val="left"/>
              <w:spacing w:line="240" w:lineRule="auto" w:after="0"/>
            </w:pPr>
            <w:r>
              <w:rPr>
                <w:rFonts w:ascii="Times New Roman" w:hAnsi="Times New Roman" w:cs="Times New Roman" w:eastAsia="Times New Roman"/>
                <w:sz w:val="20"/>
                <w:szCs w:val="20"/>
              </w:rPr>
              <w:t xml:space="preserve">79.2%</w:t>
            </w:r>
          </w:p>
        </w:tc>
        <w:tc>
          <w:tcPr/>
          <w:p>
            <w:pPr>
              <w:pStyle w:val="Normal"/>
              <w:jc w:val="left"/>
              <w:spacing w:line="240" w:lineRule="auto" w:after="0"/>
            </w:pPr>
            <w:r>
              <w:rPr>
                <w:rFonts w:ascii="Times New Roman" w:hAnsi="Times New Roman" w:cs="Times New Roman" w:eastAsia="Times New Roman"/>
                <w:sz w:val="20"/>
                <w:szCs w:val="20"/>
              </w:rPr>
              <w:t xml:space="preserve">42.5%</w:t>
            </w:r>
          </w:p>
        </w:tc>
      </w:tr>
      <w:tr>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0.79 (0.63–1.02)</w:t>
            </w:r>
          </w:p>
        </w:tc>
        <w:tc>
          <w:tcPr/>
          <w:p>
            <w:pPr>
              <w:pStyle w:val="Normal"/>
              <w:jc w:val="left"/>
              <w:spacing w:line="240" w:lineRule="auto" w:after="0"/>
            </w:pPr>
            <w:r>
              <w:rPr>
                <w:rFonts w:ascii="Times New Roman" w:hAnsi="Times New Roman" w:cs="Times New Roman" w:eastAsia="Times New Roman"/>
                <w:sz w:val="20"/>
                <w:szCs w:val="20"/>
              </w:rPr>
              <w:t xml:space="preserve">96.8%</w:t>
            </w:r>
          </w:p>
        </w:tc>
        <w:tc>
          <w:tcPr/>
          <w:p>
            <w:pPr>
              <w:pStyle w:val="Normal"/>
              <w:jc w:val="left"/>
              <w:spacing w:line="240" w:lineRule="auto" w:after="0"/>
            </w:pPr>
            <w:r>
              <w:rPr>
                <w:rFonts w:ascii="Times New Roman" w:hAnsi="Times New Roman" w:cs="Times New Roman" w:eastAsia="Times New Roman"/>
                <w:sz w:val="20"/>
                <w:szCs w:val="20"/>
              </w:rPr>
              <w:t xml:space="preserve">88.7%</w:t>
            </w:r>
          </w:p>
        </w:tc>
        <w:tc>
          <w:tcPr/>
          <w:p>
            <w:pPr>
              <w:pStyle w:val="Normal"/>
              <w:jc w:val="left"/>
              <w:spacing w:line="240" w:lineRule="auto" w:after="0"/>
            </w:pPr>
            <w:r>
              <w:rPr>
                <w:rFonts w:ascii="Times New Roman" w:hAnsi="Times New Roman" w:cs="Times New Roman" w:eastAsia="Times New Roman"/>
                <w:sz w:val="20"/>
                <w:szCs w:val="20"/>
              </w:rPr>
              <w:t xml:space="preserve">53.4%</w:t>
            </w:r>
          </w:p>
        </w:tc>
      </w:tr>
      <w:tr>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0.78 (0.65–0.95)</w:t>
            </w:r>
          </w:p>
        </w:tc>
        <w:tc>
          <w:tcPr/>
          <w:p>
            <w:pPr>
              <w:pStyle w:val="Normal"/>
              <w:jc w:val="left"/>
              <w:spacing w:line="240" w:lineRule="auto" w:after="0"/>
            </w:pPr>
            <w:r>
              <w:rPr>
                <w:rFonts w:ascii="Times New Roman" w:hAnsi="Times New Roman" w:cs="Times New Roman" w:eastAsia="Times New Roman"/>
                <w:sz w:val="20"/>
                <w:szCs w:val="20"/>
              </w:rPr>
              <w:t xml:space="preserve">99.1%</w:t>
            </w:r>
          </w:p>
        </w:tc>
        <w:tc>
          <w:tcPr/>
          <w:p>
            <w:pPr>
              <w:pStyle w:val="Normal"/>
              <w:jc w:val="left"/>
              <w:spacing w:line="240" w:lineRule="auto" w:after="0"/>
            </w:pPr>
            <w:r>
              <w:rPr>
                <w:rFonts w:ascii="Times New Roman" w:hAnsi="Times New Roman" w:cs="Times New Roman" w:eastAsia="Times New Roman"/>
                <w:sz w:val="20"/>
                <w:szCs w:val="20"/>
              </w:rPr>
              <w:t xml:space="preserve">94.8%</w:t>
            </w:r>
          </w:p>
        </w:tc>
        <w:tc>
          <w:tcPr/>
          <w:p>
            <w:pPr>
              <w:pStyle w:val="Normal"/>
              <w:jc w:val="left"/>
              <w:spacing w:line="240" w:lineRule="auto" w:after="0"/>
            </w:pPr>
            <w:r>
              <w:rPr>
                <w:rFonts w:ascii="Times New Roman" w:hAnsi="Times New Roman" w:cs="Times New Roman" w:eastAsia="Times New Roman"/>
                <w:sz w:val="20"/>
                <w:szCs w:val="20"/>
              </w:rPr>
              <w:t xml:space="preserve">64.1%</w:t>
            </w:r>
          </w:p>
        </w:tc>
      </w:tr>
    </w:tbl>
    <w:p>
      <w:pPr>
        <w:jc w:val="center"/>
      </w:pPr>
      <w:r>
        <w:drawing>
          <wp:inline xmlns:a="http://schemas.openxmlformats.org/drawingml/2006/main" xmlns:pic="http://schemas.openxmlformats.org/drawingml/2006/picture">
            <wp:extent cx="5029200" cy="2063370"/>
            <wp:docPr id="7" name="Picture 7"/>
            <wp:cNvGraphicFramePr>
              <a:graphicFrameLocks noChangeAspect="1"/>
            </wp:cNvGraphicFramePr>
            <a:graphic>
              <a:graphicData uri="http://schemas.openxmlformats.org/drawingml/2006/picture">
                <pic:pic>
                  <pic:nvPicPr>
                    <pic:cNvPr id="0" name="fig7_sensitivity_analysis.png"/>
                    <pic:cNvPicPr/>
                  </pic:nvPicPr>
                  <pic:blipFill>
                    <a:blip r:embed="rId15"/>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Sensitivity analysis of Bayesian integration to the discounting parameter α. (A) Magnesium in AMI. (B) Statins in HF. Three posterior probability thresholds are shown: P(effect &lt; 1.0), P(effect &lt; 0.90), and P(effect &lt; 0.80). Horizontal dashed line indicates 95% probability.</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7 and Fig. 8.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if the observational effect (HR 0.72) represented the true effect in the target population, the required information size would be 279 events;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0.53;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benefit demonstrated,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whereas KOTHA explicitly labels the evidence as informationally insufficient.</w:t>
      </w:r>
    </w:p>
    <w:p>
      <w:r>
        <w:rPr>
          <w:rFonts w:ascii="Times New Roman" w:hAnsi="Times New Roman"/>
          <w:b/>
          <w:i w:val="0"/>
          <w:sz w:val="24"/>
        </w:rPr>
        <w:t>Table 7: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47%</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r>
    </w:tbl>
    <w:p>
      <w:pPr>
        <w:jc w:val="center"/>
      </w:pPr>
      <w:r>
        <w:drawing>
          <wp:inline xmlns:a="http://schemas.openxmlformats.org/drawingml/2006/main" xmlns:pic="http://schemas.openxmlformats.org/drawingml/2006/picture">
            <wp:extent cx="5029200" cy="2715861"/>
            <wp:docPr id="8" name="Picture 8"/>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715861"/>
                    </a:xfrm>
                    <a:prstGeom prst="rect"/>
                  </pic:spPr>
                </pic:pic>
              </a:graphicData>
            </a:graphic>
          </wp:inline>
        </w:drawing>
      </w:r>
    </w:p>
    <w:p>
      <w:pPr>
        <w:jc w:val="left"/>
      </w:pPr>
      <w:r>
        <w:rPr>
          <w:rFonts w:ascii="Times New Roman" w:hAnsi="Times New Roman"/>
          <w:b/>
          <w:sz w:val="20"/>
        </w:rPr>
        <w:t xml:space="preserve">Figure 8.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rFonts w:ascii="Times New Roman" w:hAnsi="Times New Roman"/>
          <w:b/>
          <w:color w:val="000000"/>
          <w:sz w:val="24"/>
        </w:rPr>
        <w:t>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 18% temporal decline in control event rates from the pre-thrombolysis era to ISIS-4. The divergence between pre-ISIS-4 and all-trials estimates is better explained by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by simple underpowering. In the statins case, Module K showed that RCT populations had roughly half the event rate of observational cohorts, and that power for a modest effect (HR = 0.85) dropped from 85% to 58%. Module T demonstrated that even modest borrowing from observational evidence shifted posterior probabilities of benefit substantially, but uncertainty remained. Module H classified magnesium as inconclusive with serious inconsistency (heterogeneity), and statins as inconclusive with serious indirectness, rather than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In this way, KOTHA moves the design conversation 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planned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event rate we will actually observe in the enrolled population?</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[26-27]. Module K is complementary: it does not estimate effects but quantifies the information lost due to enrollment decisions. Existing methods for combining RCT and observational evidence include hierarchical models, power priors, and meta-analytic-predictive priors [28-30]. Module T builds on these but embeds them in a broader workflow that first diagnoses the need for integration and then interprets the result through Module H. TSA and OIS are well established [6-9], but are not routinely used to quantify risk-profile shifts. GRADE provides domains for assessment [1];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[10],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 The cases are retrospective applications; prospective validation against trials whose results are not yet known would be stronger. Module T results are sensitive to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to assumptions about residual confounding; we present sensitivity analyses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The magnesium case involves genuine treatment-effect heterogeneity across thrombolysis eras, which Module K identifies but cannot fully explain. Finally, adoption by guideline groups will require institutional change beyond the method itself.</w:t>
      </w:r>
    </w:p>
    <w:p>
      <w:pPr>
        <w:pStyle w:val="Heading2"/>
      </w:pPr>
      <w:r>
        <w:rPr>
          <w:rFonts w:ascii="Times New Roman" w:hAnsi="Times New Roman"/>
          <w:b/>
          <w:color w:val="000000"/>
          <w:sz w:val="24"/>
        </w:rPr>
        <w:t>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addresses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Competing interests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authors declare that they have no competing interests.</w:t>
      </w:r>
    </w:p>
    <w:p>
      <w:pPr>
        <w:pStyle w:val="Heading3"/>
      </w:pPr>
      <w:r>
        <w:rPr>
          <w:rFonts w:ascii="Times New Roman" w:hAnsi="Times New Roman"/>
          <w:b/>
          <w:color w:val="000000"/>
          <w:sz w:val="24"/>
        </w:rPr>
        <w:t>Funding</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Kunz R, Falck-Ytter Y, Alonso-Coello P,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Robinson S, Johnston J.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Gluud C. Estimating required information size by quantifying diversity in random-effects model meta-analyses. BMC Med Res Methodol. 2009;9:86.</w:t>
      </w:r>
    </w:p>
    <w:p>
      <w:r>
        <w:rPr>
          <w:rFonts w:ascii="Times New Roman" w:hAnsi="Times New Roman"/>
          <w:sz w:val="20"/>
        </w:rPr>
        <w:t>8. Brok J, Thorlund K, Gluud C, Wetterslev J.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Brok J, Imberger G, Gluud C.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Schoenfeld DA. Sample-size formula for the proportional-hazards regression model. Biometrics. 1983;39(2):499-503.</w:t>
      </w:r>
    </w:p>
    <w:p>
      <w:r>
        <w:rPr>
          <w:rFonts w:ascii="Times New Roman" w:hAnsi="Times New Roman"/>
          <w:sz w:val="20"/>
        </w:rPr>
        <w:t>12.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13. Boyd AP, Kittelson JM, Gillen DL. Estimation of treatment effect under non-proportional hazards and conditionally independent censoring. Stat Med. 2012;31(28):3504-15. doi:10.1002/sim.5440.</w:t>
      </w:r>
    </w:p>
    <w:p>
      <w:r>
        <w:rPr>
          <w:rFonts w:ascii="Times New Roman" w:hAnsi="Times New Roman"/>
          <w:sz w:val="20"/>
        </w:rPr>
        <w:t>14. Sherry AD, Msaouel P, Kupferman GS, Lin TA, Abi Jaoude J, Kouzy R, et al. Evidence-based prior for estimating the treatment effect of phase III randomized trials in oncology. JCO Precis Oncol. 2024;8:e2400363. doi:10.1200/PO.24.00363.</w:t>
      </w:r>
    </w:p>
    <w:p>
      <w:r>
        <w:rPr>
          <w:rFonts w:ascii="Times New Roman" w:hAnsi="Times New Roman"/>
          <w:sz w:val="20"/>
        </w:rPr>
        <w:t>15. Ibrahim JG, Chen MH. Power prior distributions for regression models. Stat Sci. 2000;15(1):46-60.</w:t>
      </w:r>
    </w:p>
    <w:p>
      <w:r>
        <w:rPr>
          <w:rFonts w:ascii="Times New Roman" w:hAnsi="Times New Roman"/>
          <w:sz w:val="20"/>
        </w:rPr>
        <w:t>16. Teo KK, Yusuf S, Collins R, Held PH, Peto R. Effects of intravenous magnesium in suspected acute myocardial infarction: overview of randomised trials. BMJ. 1991;303(6816):1499-503.</w:t>
      </w:r>
    </w:p>
    <w:p>
      <w:r>
        <w:rPr>
          <w:rFonts w:ascii="Times New Roman" w:hAnsi="Times New Roman"/>
          <w:sz w:val="20"/>
        </w:rPr>
        <w:t>17. Li J, Zhang Q, Zhang M, Egger M. Intravenous magnesium for acute myocardial infarction. Cochrane Database Syst Rev. 2007;(2):CD002755.</w:t>
      </w:r>
    </w:p>
    <w:p>
      <w:r>
        <w:rPr>
          <w:rFonts w:ascii="Times New Roman" w:hAnsi="Times New Roman"/>
          <w:sz w:val="20"/>
        </w:rPr>
        <w:t>18. Anker SD, Clark AL, Winkler R, Zugck C, Cicoira M, Haehling S, et al. Statin use and survival in patients with chronic heart failure -- results from two observational studies with 5200 patients. Int J Cardiol. 2006;112(2):234-42.</w:t>
      </w:r>
    </w:p>
    <w:p>
      <w:r>
        <w:rPr>
          <w:rFonts w:ascii="Times New Roman" w:hAnsi="Times New Roman"/>
          <w:sz w:val="20"/>
        </w:rPr>
        <w:t>19. Mozaffarian D, Nye R, Levy WC. Statin therapy is associated with lower mortality among patients with severe heart failure. Am J Cardiol. 2004;93(9):1124-9.</w:t>
      </w:r>
    </w:p>
    <w:p>
      <w:r>
        <w:rPr>
          <w:rFonts w:ascii="Times New Roman" w:hAnsi="Times New Roman"/>
          <w:sz w:val="20"/>
        </w:rPr>
        <w:t>20. Horwich TB, MacLellan WR, Fonarow GC. Statin therapy is associated with improved survival in ischemic and non-ischemic heart failure. J Am Coll Cardiol. 2004;43(4):642-8.</w:t>
      </w:r>
    </w:p>
    <w:p>
      <w:r>
        <w:rPr>
          <w:rFonts w:ascii="Times New Roman" w:hAnsi="Times New Roman"/>
          <w:sz w:val="20"/>
        </w:rPr>
        <w:t>21. Go AS, Lee WY, Yang J, Lo JC, Gurwitz JH. Statin therapy and risks for death and hospitalization in chronic heart failure. JAMA. 2006;296(17):2105-11.</w:t>
      </w:r>
    </w:p>
    <w:p>
      <w:r>
        <w:rPr>
          <w:rFonts w:ascii="Times New Roman" w:hAnsi="Times New Roman"/>
          <w:sz w:val="20"/>
        </w:rPr>
        <w:t>22. Foody JM, Shah R, Galusha D, Masoudi FA, Havranek EP, Krumholz HM. Statins and mortality among elderly patients hospitalized with heart failure. Circulation. 2006;113(8):1086-92.</w:t>
      </w:r>
    </w:p>
    <w:p>
      <w:r>
        <w:rPr>
          <w:rFonts w:ascii="Times New Roman" w:hAnsi="Times New Roman"/>
          <w:sz w:val="20"/>
        </w:rPr>
        <w:t>23. Kjekshus J, Apetrei E, Barrios V, Bohm M, Cleland JG, Cornel JH, et al. Rosuvastatin in older patients with systolic heart failure. N Engl J Med. 2007;357(22):2248-61.</w:t>
      </w:r>
    </w:p>
    <w:p>
      <w:r>
        <w:rPr>
          <w:rFonts w:ascii="Times New Roman" w:hAnsi="Times New Roman"/>
          <w:sz w:val="20"/>
        </w:rPr>
        <w:t>24. GISSI-HF Investigators. Effect of rosuvastatin in patients with chronic heart failure (the GISSI-HF trial): a randomised, double-blind, placebo-controlled trial. Lancet. 2008;372(9645):1231-9.</w:t>
      </w:r>
    </w:p>
    <w:p>
      <w:r>
        <w:rPr>
          <w:rFonts w:ascii="Times New Roman" w:hAnsi="Times New Roman"/>
          <w:sz w:val="20"/>
        </w:rPr>
        <w:t>25. DerSimonian R, Laird N. Meta-analysis in clinical trials. Control Clin Trials. 1986;7(3):177-88.</w:t>
      </w:r>
    </w:p>
    <w:p>
      <w:r>
        <w:rPr>
          <w:rFonts w:ascii="Times New Roman" w:hAnsi="Times New Roman"/>
          <w:sz w:val="20"/>
        </w:rPr>
        <w:t>26. Hernan MA, Robins JM. Using big data to emulate a target trial when a randomized trial is not available. Am J Epidemiol. 2016;183(8):758-64.</w:t>
      </w:r>
    </w:p>
    <w:p>
      <w:r>
        <w:rPr>
          <w:rFonts w:ascii="Times New Roman" w:hAnsi="Times New Roman"/>
          <w:sz w:val="20"/>
        </w:rPr>
        <w:t>27. Hernan MA, Wang W, Leaf DE. Target trial emulation: a framework for causal inference from observational data. JAMA. 2022;328(24):2446-7.</w:t>
      </w:r>
    </w:p>
    <w:p>
      <w:r>
        <w:rPr>
          <w:rFonts w:ascii="Times New Roman" w:hAnsi="Times New Roman"/>
          <w:sz w:val="20"/>
        </w:rPr>
        <w:t>28. Schmidli H, Gsteiger S, Roychoudhury S, O'Hagan A, Spiegelhalter D, Neuenschwander B. Robust meta-analytic-predictive priors in clinical trials with historical control information. Biometrics. 2014;70(4):1023-32.</w:t>
      </w:r>
    </w:p>
    <w:p>
      <w:r>
        <w:rPr>
          <w:rFonts w:ascii="Times New Roman" w:hAnsi="Times New Roman"/>
          <w:sz w:val="20"/>
        </w:rPr>
        <w:t>29. Verde PE, Ohmann C. Combining randomized and non-randomized evidence in clinical research: a review of methods and applications. Res Synth Methods. 2015;6(1):45-62.</w:t>
      </w:r>
    </w:p>
    <w:p>
      <w:r>
        <w:rPr>
          <w:rFonts w:ascii="Times New Roman" w:hAnsi="Times New Roman"/>
          <w:sz w:val="20"/>
        </w:rPr>
        <w:t>30. Efthimiou O, Mavridis D, Debray TPA, Samara M, Belger M, Salanti G, et al. Combining randomized and non-randomized evidence in network meta-analysis. Stat Med. 2017;36(8):1210-26.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