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2195</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0.73 (95% CrI: 0.28-2.09), P(OR &lt; 1) = 77% for magnesium, and HR 0.85 (0.59-1.57), P(HR &lt; 1) = 84%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provides a reproducible, quantitative method to distinguish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inform trial design, evidence synthesis, and guideline interpretation. Module H classified magnesium as inconclusive with serious imprecision (heterogeneity) and moderate indirectness,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representativeness, event-rate ratios below 0.67 or above 1.50 (a ≥50% relative shift) are classified as serious indirectness, and ratios below 0.85 or above 1.18 (a ≥15% relative shift) as moderate indirectness.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(inconclusive).</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0.85 or &gt; 1.18: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1.11 (0.43–7.03)</w:t>
            </w:r>
          </w:p>
        </w:tc>
        <w:tc>
          <w:tcPr/>
          <w:p>
            <w:pPr>
              <w:pStyle w:val="Normal"/>
              <w:jc w:val="left"/>
              <w:spacing w:line="240" w:lineRule="auto" w:after="0"/>
            </w:pPr>
            <w:r>
              <w:rPr>
                <w:rFonts w:ascii="Times New Roman" w:hAnsi="Times New Roman" w:cs="Times New Roman" w:eastAsia="Times New Roman"/>
                <w:sz w:val="20"/>
                <w:szCs w:val="20"/>
              </w:rPr>
              <w:t xml:space="preserve">30.6%</w:t>
            </w:r>
          </w:p>
        </w:tc>
        <w:tc>
          <w:tcPr/>
          <w:p>
            <w:pPr>
              <w:pStyle w:val="Normal"/>
              <w:jc w:val="left"/>
              <w:spacing w:line="240" w:lineRule="auto" w:after="0"/>
            </w:pPr>
            <w:r>
              <w:rPr>
                <w:rFonts w:ascii="Times New Roman" w:hAnsi="Times New Roman" w:cs="Times New Roman" w:eastAsia="Times New Roman"/>
                <w:sz w:val="20"/>
                <w:szCs w:val="20"/>
              </w:rPr>
              <w:t xml:space="preserve">22.2%</w:t>
            </w:r>
          </w:p>
        </w:tc>
        <w:tc>
          <w:tcPr/>
          <w:p>
            <w:pPr>
              <w:pStyle w:val="Normal"/>
              <w:jc w:val="left"/>
              <w:spacing w:line="240" w:lineRule="auto" w:after="0"/>
            </w:pPr>
            <w:r>
              <w:rPr>
                <w:rFonts w:ascii="Times New Roman" w:hAnsi="Times New Roman" w:cs="Times New Roman" w:eastAsia="Times New Roman"/>
                <w:sz w:val="20"/>
                <w:szCs w:val="20"/>
              </w:rPr>
              <w:t xml:space="preserve">16.2%</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1.00 (0.31–3.51)</w:t>
            </w:r>
          </w:p>
        </w:tc>
        <w:tc>
          <w:tcPr/>
          <w:p>
            <w:pPr>
              <w:pStyle w:val="Normal"/>
              <w:jc w:val="left"/>
              <w:spacing w:line="240" w:lineRule="auto" w:after="0"/>
            </w:pPr>
            <w:r>
              <w:rPr>
                <w:rFonts w:ascii="Times New Roman" w:hAnsi="Times New Roman" w:cs="Times New Roman" w:eastAsia="Times New Roman"/>
                <w:sz w:val="20"/>
                <w:szCs w:val="20"/>
              </w:rPr>
              <w:t xml:space="preserve">50.7%</w:t>
            </w:r>
          </w:p>
        </w:tc>
        <w:tc>
          <w:tcPr/>
          <w:p>
            <w:pPr>
              <w:pStyle w:val="Normal"/>
              <w:jc w:val="left"/>
              <w:spacing w:line="240" w:lineRule="auto" w:after="0"/>
            </w:pPr>
            <w:r>
              <w:rPr>
                <w:rFonts w:ascii="Times New Roman" w:hAnsi="Times New Roman" w:cs="Times New Roman" w:eastAsia="Times New Roman"/>
                <w:sz w:val="20"/>
                <w:szCs w:val="20"/>
              </w:rPr>
              <w:t xml:space="preserve">36.6%</w:t>
            </w:r>
          </w:p>
        </w:tc>
        <w:tc>
          <w:tcPr/>
          <w:p>
            <w:pPr>
              <w:pStyle w:val="Normal"/>
              <w:jc w:val="left"/>
              <w:spacing w:line="240" w:lineRule="auto" w:after="0"/>
            </w:pPr>
            <w:r>
              <w:rPr>
                <w:rFonts w:ascii="Times New Roman" w:hAnsi="Times New Roman" w:cs="Times New Roman" w:eastAsia="Times New Roman"/>
                <w:sz w:val="20"/>
                <w:szCs w:val="20"/>
              </w:rPr>
              <w:t xml:space="preserve">27.9%</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0.85 (0.31–2.50)</w:t>
            </w:r>
          </w:p>
        </w:tc>
        <w:tc>
          <w:tcPr/>
          <w:p>
            <w:pPr>
              <w:pStyle w:val="Normal"/>
              <w:jc w:val="left"/>
              <w:spacing w:line="240" w:lineRule="auto" w:after="0"/>
            </w:pPr>
            <w:r>
              <w:rPr>
                <w:rFonts w:ascii="Times New Roman" w:hAnsi="Times New Roman" w:cs="Times New Roman" w:eastAsia="Times New Roman"/>
                <w:sz w:val="20"/>
                <w:szCs w:val="20"/>
              </w:rPr>
              <w:t xml:space="preserve">66.5%</w:t>
            </w:r>
          </w:p>
        </w:tc>
        <w:tc>
          <w:tcPr/>
          <w:p>
            <w:pPr>
              <w:pStyle w:val="Normal"/>
              <w:jc w:val="left"/>
              <w:spacing w:line="240" w:lineRule="auto" w:after="0"/>
            </w:pPr>
            <w:r>
              <w:rPr>
                <w:rFonts w:ascii="Times New Roman" w:hAnsi="Times New Roman" w:cs="Times New Roman" w:eastAsia="Times New Roman"/>
                <w:sz w:val="20"/>
                <w:szCs w:val="20"/>
              </w:rPr>
              <w:t xml:space="preserve">55.0%</w:t>
            </w:r>
          </w:p>
        </w:tc>
        <w:tc>
          <w:tcPr/>
          <w:p>
            <w:pPr>
              <w:pStyle w:val="Normal"/>
              <w:jc w:val="left"/>
              <w:spacing w:line="240" w:lineRule="auto" w:after="0"/>
            </w:pPr>
            <w:r>
              <w:rPr>
                <w:rFonts w:ascii="Times New Roman" w:hAnsi="Times New Roman" w:cs="Times New Roman" w:eastAsia="Times New Roman"/>
                <w:sz w:val="20"/>
                <w:szCs w:val="20"/>
              </w:rPr>
              <w:t xml:space="preserve">45.8%</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0.73 (0.28–2.09)</w:t>
            </w:r>
          </w:p>
        </w:tc>
        <w:tc>
          <w:tcPr/>
          <w:p>
            <w:pPr>
              <w:pStyle w:val="Normal"/>
              <w:jc w:val="left"/>
              <w:spacing w:line="240" w:lineRule="auto" w:after="0"/>
            </w:pPr>
            <w:r>
              <w:rPr>
                <w:rFonts w:ascii="Times New Roman" w:hAnsi="Times New Roman" w:cs="Times New Roman" w:eastAsia="Times New Roman"/>
                <w:sz w:val="20"/>
                <w:szCs w:val="20"/>
              </w:rPr>
              <w:t xml:space="preserve">77.0%</w:t>
            </w:r>
          </w:p>
        </w:tc>
        <w:tc>
          <w:tcPr/>
          <w:p>
            <w:pPr>
              <w:pStyle w:val="Normal"/>
              <w:jc w:val="left"/>
              <w:spacing w:line="240" w:lineRule="auto" w:after="0"/>
            </w:pPr>
            <w:r>
              <w:rPr>
                <w:rFonts w:ascii="Times New Roman" w:hAnsi="Times New Roman" w:cs="Times New Roman" w:eastAsia="Times New Roman"/>
                <w:sz w:val="20"/>
                <w:szCs w:val="20"/>
              </w:rPr>
              <w:t xml:space="preserve">66.3%</w:t>
            </w:r>
          </w:p>
        </w:tc>
        <w:tc>
          <w:tcPr/>
          <w:p>
            <w:pPr>
              <w:pStyle w:val="Normal"/>
              <w:jc w:val="left"/>
              <w:spacing w:line="240" w:lineRule="auto" w:after="0"/>
            </w:pPr>
            <w:r>
              <w:rPr>
                <w:rFonts w:ascii="Times New Roman" w:hAnsi="Times New Roman" w:cs="Times New Roman" w:eastAsia="Times New Roman"/>
                <w:sz w:val="20"/>
                <w:szCs w:val="20"/>
              </w:rPr>
              <w:t xml:space="preserve">56.9%</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0.61 (0.28–1.30)</w:t>
            </w:r>
          </w:p>
        </w:tc>
        <w:tc>
          <w:tcPr/>
          <w:p>
            <w:pPr>
              <w:pStyle w:val="Normal"/>
              <w:jc w:val="left"/>
              <w:spacing w:line="240" w:lineRule="auto" w:after="0"/>
            </w:pPr>
            <w:r>
              <w:rPr>
                <w:rFonts w:ascii="Times New Roman" w:hAnsi="Times New Roman" w:cs="Times New Roman" w:eastAsia="Times New Roman"/>
                <w:sz w:val="20"/>
                <w:szCs w:val="20"/>
              </w:rPr>
              <w:t xml:space="preserve">92.6%</w:t>
            </w:r>
          </w:p>
        </w:tc>
        <w:tc>
          <w:tcPr/>
          <w:p>
            <w:pPr>
              <w:pStyle w:val="Normal"/>
              <w:jc w:val="left"/>
              <w:spacing w:line="240" w:lineRule="auto" w:after="0"/>
            </w:pPr>
            <w:r>
              <w:rPr>
                <w:rFonts w:ascii="Times New Roman" w:hAnsi="Times New Roman" w:cs="Times New Roman" w:eastAsia="Times New Roman"/>
                <w:sz w:val="20"/>
                <w:szCs w:val="20"/>
              </w:rPr>
              <w:t xml:space="preserve">87.3%</w:t>
            </w:r>
          </w:p>
        </w:tc>
        <w:tc>
          <w:tcPr/>
          <w:p>
            <w:pPr>
              <w:pStyle w:val="Normal"/>
              <w:jc w:val="left"/>
              <w:spacing w:line="240" w:lineRule="auto" w:after="0"/>
            </w:pPr>
            <w:r>
              <w:rPr>
                <w:rFonts w:ascii="Times New Roman" w:hAnsi="Times New Roman" w:cs="Times New Roman" w:eastAsia="Times New Roman"/>
                <w:sz w:val="20"/>
                <w:szCs w:val="20"/>
              </w:rPr>
              <w:t xml:space="preserve">77.1%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0.57 (0.29–1.05)</w:t>
            </w:r>
          </w:p>
        </w:tc>
        <w:tc>
          <w:tcPr/>
          <w:p>
            <w:pPr>
              <w:pStyle w:val="Normal"/>
              <w:jc w:val="left"/>
              <w:spacing w:line="240" w:lineRule="auto" w:after="0"/>
            </w:pPr>
            <w:r>
              <w:rPr>
                <w:rFonts w:ascii="Times New Roman" w:hAnsi="Times New Roman" w:cs="Times New Roman" w:eastAsia="Times New Roman"/>
                <w:sz w:val="20"/>
                <w:szCs w:val="20"/>
              </w:rPr>
              <w:t xml:space="preserve">96.6%</w:t>
            </w:r>
          </w:p>
        </w:tc>
        <w:tc>
          <w:tcPr/>
          <w:p>
            <w:pPr>
              <w:pStyle w:val="Normal"/>
              <w:jc w:val="left"/>
              <w:spacing w:line="240" w:lineRule="auto" w:after="0"/>
            </w:pPr>
            <w:r>
              <w:rPr>
                <w:rFonts w:ascii="Times New Roman" w:hAnsi="Times New Roman" w:cs="Times New Roman" w:eastAsia="Times New Roman"/>
                <w:sz w:val="20"/>
                <w:szCs w:val="20"/>
              </w:rPr>
              <w:t xml:space="preserve">94.1%</w:t>
            </w:r>
          </w:p>
        </w:tc>
        <w:tc>
          <w:tcPr/>
          <w:p>
            <w:pPr>
              <w:pStyle w:val="Normal"/>
              <w:jc w:val="left"/>
              <w:spacing w:line="240" w:lineRule="auto" w:after="0"/>
            </w:pPr>
            <w:r>
              <w:rPr>
                <w:rFonts w:ascii="Times New Roman" w:hAnsi="Times New Roman" w:cs="Times New Roman" w:eastAsia="Times New Roman"/>
                <w:sz w:val="20"/>
                <w:szCs w:val="20"/>
              </w:rPr>
              <w:t xml:space="preserve">87.4%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0.54 (0.32–0.91)</w:t>
            </w:r>
          </w:p>
        </w:tc>
        <w:tc>
          <w:tcPr/>
          <w:p>
            <w:pPr>
              <w:pStyle w:val="Normal"/>
              <w:jc w:val="left"/>
              <w:spacing w:line="240" w:lineRule="auto" w:after="0"/>
            </w:pPr>
            <w:r>
              <w:rPr>
                <w:rFonts w:ascii="Times New Roman" w:hAnsi="Times New Roman" w:cs="Times New Roman" w:eastAsia="Times New Roman"/>
                <w:sz w:val="20"/>
                <w:szCs w:val="20"/>
              </w:rPr>
              <w:t xml:space="preserve">98.7%</w:t>
            </w:r>
          </w:p>
        </w:tc>
        <w:tc>
          <w:tcPr/>
          <w:p>
            <w:pPr>
              <w:pStyle w:val="Normal"/>
              <w:jc w:val="left"/>
              <w:spacing w:line="240" w:lineRule="auto" w:after="0"/>
            </w:pPr>
            <w:r>
              <w:rPr>
                <w:rFonts w:ascii="Times New Roman" w:hAnsi="Times New Roman" w:cs="Times New Roman" w:eastAsia="Times New Roman"/>
                <w:sz w:val="20"/>
                <w:szCs w:val="20"/>
              </w:rPr>
              <w:t xml:space="preserve">97.2%</w:t>
            </w:r>
          </w:p>
        </w:tc>
        <w:tc>
          <w:tcPr/>
          <w:p>
            <w:pPr>
              <w:pStyle w:val="Normal"/>
              <w:jc w:val="left"/>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0.98 (0.63–2.35)</w:t>
            </w:r>
          </w:p>
        </w:tc>
        <w:tc>
          <w:tcPr/>
          <w:p>
            <w:pPr>
              <w:pStyle w:val="Normal"/>
              <w:jc w:val="left"/>
              <w:spacing w:line="240" w:lineRule="auto" w:after="0"/>
            </w:pPr>
            <w:r>
              <w:rPr>
                <w:rFonts w:ascii="Times New Roman" w:hAnsi="Times New Roman" w:cs="Times New Roman" w:eastAsia="Times New Roman"/>
                <w:sz w:val="20"/>
                <w:szCs w:val="20"/>
              </w:rPr>
              <w:t xml:space="preserve">60.9%</w:t>
            </w:r>
          </w:p>
        </w:tc>
        <w:tc>
          <w:tcPr/>
          <w:p>
            <w:pPr>
              <w:pStyle w:val="Normal"/>
              <w:jc w:val="left"/>
              <w:spacing w:line="240" w:lineRule="auto" w:after="0"/>
            </w:pPr>
            <w:r>
              <w:rPr>
                <w:rFonts w:ascii="Times New Roman" w:hAnsi="Times New Roman" w:cs="Times New Roman" w:eastAsia="Times New Roman"/>
                <w:sz w:val="20"/>
                <w:szCs w:val="20"/>
              </w:rPr>
              <w:t xml:space="preserve">17.7%</w:t>
            </w:r>
          </w:p>
        </w:tc>
        <w:tc>
          <w:tcPr/>
          <w:p>
            <w:pPr>
              <w:pStyle w:val="Normal"/>
              <w:jc w:val="left"/>
              <w:spacing w:line="240" w:lineRule="auto" w:after="0"/>
            </w:pPr>
            <w:r>
              <w:rPr>
                <w:rFonts w:ascii="Times New Roman" w:hAnsi="Times New Roman" w:cs="Times New Roman" w:eastAsia="Times New Roman"/>
                <w:sz w:val="20"/>
                <w:szCs w:val="20"/>
              </w:rPr>
              <w:t xml:space="preserve">9.1%</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(0.63–2.19)</w:t>
            </w:r>
          </w:p>
        </w:tc>
        <w:tc>
          <w:tcPr/>
          <w:p>
            <w:pPr>
              <w:pStyle w:val="Normal"/>
              <w:jc w:val="left"/>
              <w:spacing w:line="240" w:lineRule="auto" w:after="0"/>
            </w:pPr>
            <w:r>
              <w:rPr>
                <w:rFonts w:ascii="Times New Roman" w:hAnsi="Times New Roman" w:cs="Times New Roman" w:eastAsia="Times New Roman"/>
                <w:sz w:val="20"/>
                <w:szCs w:val="20"/>
              </w:rPr>
              <w:t xml:space="preserve">70.4%</w:t>
            </w:r>
          </w:p>
        </w:tc>
        <w:tc>
          <w:tcPr/>
          <w:p>
            <w:pPr>
              <w:pStyle w:val="Normal"/>
              <w:jc w:val="left"/>
              <w:spacing w:line="240" w:lineRule="auto" w:after="0"/>
            </w:pPr>
            <w:r>
              <w:rPr>
                <w:rFonts w:ascii="Times New Roman" w:hAnsi="Times New Roman" w:cs="Times New Roman" w:eastAsia="Times New Roman"/>
                <w:sz w:val="20"/>
                <w:szCs w:val="20"/>
              </w:rPr>
              <w:t xml:space="preserve">43.5%</w:t>
            </w:r>
          </w:p>
        </w:tc>
        <w:tc>
          <w:tcPr/>
          <w:p>
            <w:pPr>
              <w:pStyle w:val="Normal"/>
              <w:jc w:val="left"/>
              <w:spacing w:line="240" w:lineRule="auto" w:after="0"/>
            </w:pPr>
            <w:r>
              <w:rPr>
                <w:rFonts w:ascii="Times New Roman" w:hAnsi="Times New Roman" w:cs="Times New Roman" w:eastAsia="Times New Roman"/>
                <w:sz w:val="20"/>
                <w:szCs w:val="20"/>
              </w:rPr>
              <w:t xml:space="preserve">17.7%</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(0.60–1.80)</w:t>
            </w:r>
          </w:p>
        </w:tc>
        <w:tc>
          <w:tcPr/>
          <w:p>
            <w:pPr>
              <w:pStyle w:val="Normal"/>
              <w:jc w:val="left"/>
              <w:spacing w:line="240" w:lineRule="auto" w:after="0"/>
            </w:pPr>
            <w:r>
              <w:rPr>
                <w:rFonts w:ascii="Times New Roman" w:hAnsi="Times New Roman" w:cs="Times New Roman" w:eastAsia="Times New Roman"/>
                <w:sz w:val="20"/>
                <w:szCs w:val="20"/>
              </w:rPr>
              <w:t xml:space="preserve">78.4%</w:t>
            </w:r>
          </w:p>
        </w:tc>
        <w:tc>
          <w:tcPr/>
          <w:p>
            <w:pPr>
              <w:pStyle w:val="Normal"/>
              <w:jc w:val="left"/>
              <w:spacing w:line="240" w:lineRule="auto" w:after="0"/>
            </w:pPr>
            <w:r>
              <w:rPr>
                <w:rFonts w:ascii="Times New Roman" w:hAnsi="Times New Roman" w:cs="Times New Roman" w:eastAsia="Times New Roman"/>
                <w:sz w:val="20"/>
                <w:szCs w:val="20"/>
              </w:rPr>
              <w:t xml:space="preserve">57.0%</w:t>
            </w:r>
          </w:p>
        </w:tc>
        <w:tc>
          <w:tcPr/>
          <w:p>
            <w:pPr>
              <w:pStyle w:val="Normal"/>
              <w:jc w:val="left"/>
              <w:spacing w:line="240" w:lineRule="auto" w:after="0"/>
            </w:pPr>
            <w:r>
              <w:rPr>
                <w:rFonts w:ascii="Times New Roman" w:hAnsi="Times New Roman" w:cs="Times New Roman" w:eastAsia="Times New Roman"/>
                <w:sz w:val="20"/>
                <w:szCs w:val="20"/>
              </w:rPr>
              <w:t xml:space="preserve">26.0%</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(0.59–1.57)</w:t>
            </w:r>
          </w:p>
        </w:tc>
        <w:tc>
          <w:tcPr/>
          <w:p>
            <w:pPr>
              <w:pStyle w:val="Normal"/>
              <w:jc w:val="left"/>
              <w:spacing w:line="240" w:lineRule="auto" w:after="0"/>
            </w:pPr>
            <w:r>
              <w:rPr>
                <w:rFonts w:ascii="Times New Roman" w:hAnsi="Times New Roman" w:cs="Times New Roman" w:eastAsia="Times New Roman"/>
                <w:sz w:val="20"/>
                <w:szCs w:val="20"/>
              </w:rPr>
              <w:t xml:space="preserve">83.7%</w:t>
            </w:r>
          </w:p>
        </w:tc>
        <w:tc>
          <w:tcPr/>
          <w:p>
            <w:pPr>
              <w:pStyle w:val="Normal"/>
              <w:jc w:val="left"/>
              <w:spacing w:line="240" w:lineRule="auto" w:after="0"/>
            </w:pPr>
            <w:r>
              <w:rPr>
                <w:rFonts w:ascii="Times New Roman" w:hAnsi="Times New Roman" w:cs="Times New Roman" w:eastAsia="Times New Roman"/>
                <w:sz w:val="20"/>
                <w:szCs w:val="20"/>
              </w:rPr>
              <w:t xml:space="preserve">65.7%</w:t>
            </w:r>
          </w:p>
        </w:tc>
        <w:tc>
          <w:tcPr/>
          <w:p>
            <w:pPr>
              <w:pStyle w:val="Normal"/>
              <w:jc w:val="left"/>
              <w:spacing w:line="240" w:lineRule="auto" w:after="0"/>
            </w:pPr>
            <w:r>
              <w:rPr>
                <w:rFonts w:ascii="Times New Roman" w:hAnsi="Times New Roman" w:cs="Times New Roman" w:eastAsia="Times New Roman"/>
                <w:sz w:val="20"/>
                <w:szCs w:val="20"/>
              </w:rPr>
              <w:t xml:space="preserve">32.8%</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(0.62–1.15)</w:t>
            </w:r>
          </w:p>
        </w:tc>
        <w:tc>
          <w:tcPr/>
          <w:p>
            <w:pPr>
              <w:pStyle w:val="Normal"/>
              <w:jc w:val="left"/>
              <w:spacing w:line="240" w:lineRule="auto" w:after="0"/>
            </w:pPr>
            <w:r>
              <w:rPr>
                <w:rFonts w:ascii="Times New Roman" w:hAnsi="Times New Roman" w:cs="Times New Roman" w:eastAsia="Times New Roman"/>
                <w:sz w:val="20"/>
                <w:szCs w:val="20"/>
              </w:rPr>
              <w:t xml:space="preserve">91.9%</w:t>
            </w:r>
          </w:p>
        </w:tc>
        <w:tc>
          <w:tcPr/>
          <w:p>
            <w:pPr>
              <w:pStyle w:val="Normal"/>
              <w:jc w:val="left"/>
              <w:spacing w:line="240" w:lineRule="auto" w:after="0"/>
            </w:pPr>
            <w:r>
              <w:rPr>
                <w:rFonts w:ascii="Times New Roman" w:hAnsi="Times New Roman" w:cs="Times New Roman" w:eastAsia="Times New Roman"/>
                <w:sz w:val="20"/>
                <w:szCs w:val="20"/>
              </w:rPr>
              <w:t xml:space="preserve">79.2%</w:t>
            </w:r>
          </w:p>
        </w:tc>
        <w:tc>
          <w:tcPr/>
          <w:p>
            <w:pPr>
              <w:pStyle w:val="Normal"/>
              <w:jc w:val="left"/>
              <w:spacing w:line="240" w:lineRule="auto" w:after="0"/>
            </w:pPr>
            <w:r>
              <w:rPr>
                <w:rFonts w:ascii="Times New Roman" w:hAnsi="Times New Roman" w:cs="Times New Roman" w:eastAsia="Times New Roman"/>
                <w:sz w:val="20"/>
                <w:szCs w:val="20"/>
              </w:rPr>
              <w:t xml:space="preserve">42.5%</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0.79 (0.63–1.02)</w:t>
            </w:r>
          </w:p>
        </w:tc>
        <w:tc>
          <w:tcPr/>
          <w:p>
            <w:pPr>
              <w:pStyle w:val="Normal"/>
              <w:jc w:val="left"/>
              <w:spacing w:line="240" w:lineRule="auto" w:after="0"/>
            </w:pPr>
            <w:r>
              <w:rPr>
                <w:rFonts w:ascii="Times New Roman" w:hAnsi="Times New Roman" w:cs="Times New Roman" w:eastAsia="Times New Roman"/>
                <w:sz w:val="20"/>
                <w:szCs w:val="20"/>
              </w:rPr>
              <w:t xml:space="preserve">96.8%</w:t>
            </w:r>
          </w:p>
        </w:tc>
        <w:tc>
          <w:tcPr/>
          <w:p>
            <w:pPr>
              <w:pStyle w:val="Normal"/>
              <w:jc w:val="left"/>
              <w:spacing w:line="240" w:lineRule="auto" w:after="0"/>
            </w:pPr>
            <w:r>
              <w:rPr>
                <w:rFonts w:ascii="Times New Roman" w:hAnsi="Times New Roman" w:cs="Times New Roman" w:eastAsia="Times New Roman"/>
                <w:sz w:val="20"/>
                <w:szCs w:val="20"/>
              </w:rPr>
              <w:t xml:space="preserve">88.7%</w:t>
            </w:r>
          </w:p>
        </w:tc>
        <w:tc>
          <w:tcPr/>
          <w:p>
            <w:pPr>
              <w:pStyle w:val="Normal"/>
              <w:jc w:val="left"/>
              <w:spacing w:line="240" w:lineRule="auto" w:after="0"/>
            </w:pPr>
            <w:r>
              <w:rPr>
                <w:rFonts w:ascii="Times New Roman" w:hAnsi="Times New Roman" w:cs="Times New Roman" w:eastAsia="Times New Roman"/>
                <w:sz w:val="20"/>
                <w:szCs w:val="20"/>
              </w:rPr>
              <w:t xml:space="preserve">53.4%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(0.65–0.95)</w:t>
            </w:r>
          </w:p>
        </w:tc>
        <w:tc>
          <w:tcPr/>
          <w:p>
            <w:pPr>
              <w:pStyle w:val="Normal"/>
              <w:jc w:val="left"/>
              <w:spacing w:line="240" w:lineRule="auto" w:after="0"/>
            </w:pPr>
            <w:r>
              <w:rPr>
                <w:rFonts w:ascii="Times New Roman" w:hAnsi="Times New Roman" w:cs="Times New Roman" w:eastAsia="Times New Roman"/>
                <w:sz w:val="20"/>
                <w:szCs w:val="20"/>
              </w:rPr>
              <w:t xml:space="preserve">99.1%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imprecision (heterogeneity) and moderate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imprecision (heterogeneity) and moderate indirectness). For statins, the OIS for the observational effect was 279 events and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Moderate: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 (heterogeneity-driven)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Very low</w:t>
            </w:r>
          </w:p>
        </w:tc>
        <w:tc>
          <w:tcPr/>
          <w:p>
            <w:pPr>
              <w:pStyle w:val="Normal"/>
              <w:jc w:val="left"/>
              <w:spacing w:line="240" w:lineRule="auto" w:after="0"/>
            </w:pPr>
            <w:r>
              <w:rPr>
                <w:rFonts w:ascii="Times New Roman" w:hAnsi="Times New Roman" w:cs="Times New Roman" w:eastAsia="Times New Roman"/>
                <w:sz w:val="20"/>
                <w:szCs w:val="20"/>
              </w:rPr>
              <w:t xml:space="preserve">Moderate</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imprecision (heterogeneity) and moderate indirectness,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