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Supplementary Tables</w:t>
      </w:r>
    </w:p>
    <w:p/>
    <w:p>
      <w:r>
        <w:rPr>
          <w:rFonts w:ascii="Times New Roman" w:hAnsi="Times New Roman"/>
          <w:b/>
          <w:sz w:val="24"/>
        </w:rPr>
        <w:t>Supplementary Table S1: Existing approaches to mitigate event dilution in RCTs</w:t>
      </w:r>
    </w:p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Approach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Mechanism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Adoption level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Stratified randomization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Risk-based stratification of randomization and analysis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Common for basic strata; rare for event-rate-driven strata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Prognostic enrichment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Intentional enrollment of high-risk patients to increase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Endorsed by FDA and EMA guidance; limited in non-drug trials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Event-driven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Continue enrollment/follow-up until target event count is reached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Common in cardiology and oncology; rare in other specialties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Adaptive sample size re-estimation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Mid-trial re-estimation of required sample size based on observed event rates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Statistically powerful; regulatory complexity limits adoption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External data-informed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Use retrospective data to quantify expected event loss and adjust design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Ideal but very rare in practice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Pragmatic / registry-based trials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Broad eligibility, minimal exclusions, real-world enrollment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Growing (e.g., REMAP-CAP, RECOVERY) but not yet standard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Supplementary Table S2: Study-level data for magnesium in AMI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Year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Era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(Mg)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Events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N (Ctrl)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b/>
                <w:sz w:val="22"/>
              </w:rPr>
              <w:t>Control rate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Morton 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5.6%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Rasmussen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11.4%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Smith 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Abraham 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Ceremuzynski 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1989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13.0%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Singh 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Pre-thrombolysis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Feldstedt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7.0%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Schechter 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Transition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3.5%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LIMIT-2 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90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1,157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10.2%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Shechter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15.7%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ISIS-4 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1995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Thrombolysis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2216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29,039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/>
                <w:sz w:val="22"/>
              </w:rPr>
              <w:t>7.2%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Supplementary Table S3: Study-level data for statins in heart failure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Study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b/>
                <w:sz w:val="22"/>
              </w:rPr>
              <w:t>Events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Mozaffarian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0.62 (0.49--0.78)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1,153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356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Horwich 2004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0.59 (0.44--0.78)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551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189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Go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0.69 (0.63--0.75)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24,598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5,765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Foody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0.82 (0.79--0.85)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54,960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16,573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Anker 2006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OBS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0.75 (0.66--0.85)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10,510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2,890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CORONA 2007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0.95 (0.86--1.05)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5,011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728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GISSI-HF 2008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RCT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1.00 (0.90--1.12)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4,574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/>
                <w:sz w:val="22"/>
              </w:rPr>
              <w:t>657</w:t>
            </w:r>
          </w:p>
        </w:tc>
      </w:tr>
    </w:tbl>
    <w:p/>
    <w:p>
      <w:r>
        <w:rPr>
          <w:rFonts w:ascii="Times New Roman" w:hAnsi="Times New Roman"/>
          <w:b/>
          <w:sz w:val="24"/>
        </w:rPr>
        <w:t>Supplementary Table S4: Bayesian integration results by case and discounting factor (power prior)</w:t>
      </w:r>
    </w:p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Case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m:oMath>
              <m:r>
                <m:t>α</m:t>
              </m:r>
            </m:oMath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OR/HR (95% CrI)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P(effect &lt; 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P(effect &lt; 0.90)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  <w:b/>
              </w:rPr>
              <w:t xml:space="preserve">P(effect &lt; 0.80)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1.05 (0.03–27.97)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42.8%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33.4%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27.0%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0.0 (ISIS-4 / RCTs only)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0.97 (0.58–1.65)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62.9%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21.2%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0.93 (0.15–2.92)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46.3%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36.2%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0.1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0.92 (0.53–1.64)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71.9%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42.7%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19.2%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0.83 (0.22–1.75)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71.4%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58.9%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46.9%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0.2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0.89 (0.53–1.41)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79.8%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54.7%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24.4%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0.74 (0.25–1.43)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80.7%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57.4%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0.3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0.85 (0.55–1.24)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86.5%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66.0%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31.1%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0.63 (0.28–1.10)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94.0%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87.2%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76.3%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0.5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0.82 (0.59–1.10)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93.9%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79.6%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41.9%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0.59 (0.29–0.98)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98.1%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94.8%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87.1%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0.7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0.80 (0.62–1.00)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97.3%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88.3%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49.7%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Magnesium (OR)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OR 0.55 (0.32–0.87)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99.6%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98.4%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94.4%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Statins (HR)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1.0 (full weight)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HR 0.78 (0.64–0.93)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99.3%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95.7%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2"/>
                <w:szCs w:val="20"/>
              </w:rPr>
              <w:t xml:space="preserve">63.3%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