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2361</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numPr>
          <w:ilvl w:val="0"/>
          <w:numId w:val="1001"/>
        </w:numPr>
        <w:pStyle w:val="Normal"/>
        <w:spacing w:line="480" w:lineRule="auto" w:after="120"/>
      </w:pPr>
      <w:r>
        <w:rPr>
          <w:rFonts w:ascii="Times New Roman" w:hAnsi="Times New Roman" w:cs="Times New Roman" w:eastAsia="Times New Roman"/>
          <w:sz w:val="24"/>
          <w:szCs w:val="24"/>
        </w:rPr>
        <w:t xml:space="preserve">KOTHA separates structural information loss from residual confounding in trial evidence.</w:t>
      </w:r>
    </w:p>
    <w:p xmlns:a="http://schemas.openxmlformats.org/drawingml/2006/main" xmlns:pic="http://schemas.openxmlformats.org/drawingml/2006/picture">
      <w:pPr>
        <w:numPr>
          <w:ilvl w:val="0"/>
          <w:numId w:val="1001"/>
        </w:numPr>
        <w:pStyle w:val="Normal"/>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numPr>
          <w:ilvl w:val="0"/>
          <w:numId w:val="1001"/>
        </w:numPr>
        <w:pStyle w:val="Normal"/>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numPr>
          <w:ilvl w:val="0"/>
          <w:numId w:val="1001"/>
        </w:numPr>
        <w:pStyle w:val="Normal"/>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0.74 (95%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sampled with an affine-invariant ensemble MCMC [16] using 16 walkers, 1,000 warmup and 4,000 post-warmup iterations per walker,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 S1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[17-18]. For statins in heart failure we used aggregate data from five observational cohorts [19-23] and two RCTs [24-25]. We used DerSimonian-Laird random-effects meta-analysis [26]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418945"/>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8945"/>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[27-28]. Module K is complementary: it does not estimate effects but quantifies the information lost due to enrollment decisions. Existing methods for combining RCT and observational evidence include hierarchical models, power priors, and meta-analytic-predictive priors [29-31].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Foreman-Mackey D, Hogg DW, Lang D, Goodman J. emcee: the MCMC hammer. Publ Astron Soc Pac. 2013;125(925):306-12.</w:t>
      </w:r>
    </w:p>
    <w:p>
      <w:r>
        <w:rPr>
          <w:rFonts w:ascii="Times New Roman" w:hAnsi="Times New Roman"/>
          <w:sz w:val="20"/>
        </w:rPr>
        <w:t>17. Teo KK, Yusuf S, Collins R, Held PH, Peto R. Effects of intravenous magnesium in suspected acute myocardial infarction: overview of randomised trials. BMJ. 1991;303(6816):1499-503.</w:t>
      </w:r>
    </w:p>
    <w:p>
      <w:r>
        <w:rPr>
          <w:rFonts w:ascii="Times New Roman" w:hAnsi="Times New Roman"/>
          <w:sz w:val="20"/>
        </w:rPr>
        <w:t>18. Li J, Zhang Q, Zhang M, Egger M. Intravenous magnesium for acute myocardial infarction. Cochrane Database Syst Rev. 2007;(2):CD002755.</w:t>
      </w:r>
    </w:p>
    <w:p>
      <w:r>
        <w:rPr>
          <w:rFonts w:ascii="Times New Roman" w:hAnsi="Times New Roman"/>
          <w:sz w:val="20"/>
        </w:rPr>
        <w:t>19.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Lo JC, Gurwitz JH. Statin therapy and risks for death and hospitalization in chronic heart failure. JAMA. 2006;296(17):2105-11.</w:t>
      </w:r>
    </w:p>
    <w:p>
      <w:r>
        <w:rPr>
          <w:rFonts w:ascii="Times New Roman" w:hAnsi="Times New Roman"/>
          <w:sz w:val="20"/>
        </w:rPr>
        <w:t>23. Foody JM, Shah R, Galusha D, Masoudi FA, Havranek EP, Krumholz HM. Statins and mortality among elderly patients hospitalized with heart failure. Circulation. 2006;113(8):1086-92.</w:t>
      </w:r>
    </w:p>
    <w:p>
      <w:r>
        <w:rPr>
          <w:rFonts w:ascii="Times New Roman" w:hAnsi="Times New Roman"/>
          <w:sz w:val="20"/>
        </w:rPr>
        <w:t>24. Kjekshus J, Apetrei E, Barrios V, Bohm M, Cleland JG, Cornel JH,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