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Trial Design</w:t>
      </w:r>
    </w:p>
    <w:p>
      <w:pPr>
        <w:jc w:val="center"/>
      </w:pPr>
      <w:r>
        <w:rPr>
          <w:rFonts w:ascii="Times New Roman" w:hAnsi="Times New Roman"/>
          <w:b/>
          <w:i w:val="0"/>
          <w:sz w:val="28"/>
        </w:rPr>
        <w:t>The KOTHA Framework: diagnosing structural information loss in randomized controlled trial meta-analyses to inform trial design</w:t>
      </w:r>
    </w:p>
    <w:p>
      <w:pPr>
        <w:jc w:val="center"/>
      </w:pPr>
      <w:r>
        <w:rPr>
          <w:rFonts w:ascii="Times New Roman" w:hAnsi="Times New Roman"/>
          <w:b w:val="0"/>
          <w:i/>
          <w:sz w:val="24"/>
        </w:rPr>
        <w:t>[To be determined]</w:t>
      </w:r>
    </w:p>
    <w:p>
      <w:r>
        <w:rPr>
          <w:rFonts w:ascii="Times New Roman" w:hAnsi="Times New Roman"/>
          <w:b w:val="0"/>
          <w:i w:val="0"/>
          <w:sz w:val="24"/>
        </w:rPr>
        <w:t>Word count: 2107</w:t>
      </w:r>
    </w:p>
    <w:p>
      <w:r>
        <w:rPr>
          <w:rFonts w:ascii="Times New Roman" w:hAnsi="Times New Roman"/>
          <w:b w:val="0"/>
          <w:i w:val="0"/>
          <w:sz w:val="24"/>
        </w:rPr>
        <w:t>Corresponding author: [To be determined]</w:t>
      </w:r>
    </w:p>
    <w:p>
      <w:r>
        <w:rPr>
          <w:rFonts w:ascii="Times New Roman" w:hAnsi="Times New Roman"/>
          <w:b w:val="0"/>
          <w:i/>
          <w:sz w:val="24"/>
        </w:rPr>
        <w:t>Prepared for submission to Contemporary Clinical Trials</w:t>
      </w:r>
    </w:p>
    <w:p>
      <w:r>
        <w:br w:type="page"/>
      </w:r>
    </w:p>
    <w:p>
      <w:pPr>
        <w:pStyle w:val="Heading2"/>
      </w:pPr>
      <w:r>
        <w:rPr>
          <w:color w:val="000000"/>
        </w:rPr>
        <w:t>Abstract</w:t>
      </w:r>
    </w:p>
    <w:p>
      <w:r>
        <w:rPr>
          <w:rFonts w:ascii="Times New Roman" w:hAnsi="Times New Roman"/>
          <w:b/>
          <w:i w:val="0"/>
          <w:sz w:val="24"/>
        </w:rPr>
        <w:t>Background</w:t>
      </w:r>
      <w:r>
        <w:rPr>
          <w:rFonts w:ascii="Times New Roman" w:hAnsi="Times New Roman"/>
          <w:b w:val="0"/>
          <w:i w:val="0"/>
          <w:sz w:val="24"/>
        </w:rPr>
        <w:t>: Evidence-based medicine places randomized controlled trials (RCTs) and their meta-analyses at the top of the evidence hierarchy [1]. Discordance between observational and RCT evidence is often attributed to confounding, but an underexplored structural explanation is that trial enrollment progressively excludes higher-risk patients, diluting event rates and reducing statistical information. We developed the Knowledge-driven Observational-Trial Harmonization Approach (KOTHA) Framework to diagnose and address this structural information loss.</w:t>
      </w:r>
    </w:p>
    <w:p>
      <w:r>
        <w:rPr>
          <w:rFonts w:ascii="Times New Roman" w:hAnsi="Times New Roman"/>
          <w:b/>
          <w:i w:val="0"/>
          <w:sz w:val="24"/>
        </w:rPr>
        <w:t>Methods</w:t>
      </w:r>
      <w:r>
        <w:rPr>
          <w:rFonts w:ascii="Times New Roman" w:hAnsi="Times New Roman"/>
          <w:b w:val="0"/>
          <w:i w:val="0"/>
          <w:sz w:val="24"/>
        </w:rPr>
        <w:t>: KOTHA comprises three modules. Module K uses counterfactual power simulation to quantify how enrollment-driven risk-profile shifts alter statistical power. Module T integrates RCT and observational evidence through hierarchical Bayesian meta-analysis with power-prior discounting. Module H translates these outputs into a structured GRADE-compatible evidence assessment. We illustrated the framework using published data from two cases of observational-RCT divergence: intravenous magnesium in acute myocardial infarction (12 trials, 1984-1995) and statins in heart failure (5 observational studies, 2 RCTs).</w:t>
      </w:r>
    </w:p>
    <w:p>
      <w:r>
        <w:rPr>
          <w:rFonts w:ascii="Times New Roman" w:hAnsi="Times New Roman"/>
          <w:b/>
          <w:i w:val="0"/>
          <w:sz w:val="24"/>
        </w:rPr>
        <w:t>Results</w:t>
      </w:r>
      <w:r>
        <w:rPr>
          <w:rFonts w:ascii="Times New Roman" w:hAnsi="Times New Roman"/>
          <w:b w:val="0"/>
          <w:i w:val="0"/>
          <w:sz w:val="24"/>
        </w:rPr>
        <w:t>: In the magnesium case, control event rates fell from 8.9% (pre-thrombolysis era) to 7.2% (ISIS-4). The pre-ISIS-4 meta-analysis yielded OR = 0.54 (95% CI: 0.40-0.75), while the all-trials estimate was OR = 0.56 (0.38-0.83) with I² = 62%. In the statins case, observational studies showed HR = 0.72 (0.64-0.80) and RCTs showed HR = 0.97 (0.90-1.05), with an RCT-to-observational event rate ratio of 0.53. Bayesian integration with moderate discounting (α = 0.3) yielded OR = 0.73 (95% CrI: 0.28-2.09), P(OR &lt; 1) = 77% for magnesium and HR = 0.85 (0.59-1.57), P(HR &lt; 1) = 84% for statins. Module H reclassified both cases as informationally inconclusive with serious indirectness.</w:t>
      </w:r>
    </w:p>
    <w:p>
      <w:r>
        <w:rPr>
          <w:rFonts w:ascii="Times New Roman" w:hAnsi="Times New Roman"/>
          <w:b/>
          <w:i w:val="0"/>
          <w:sz w:val="24"/>
        </w:rPr>
        <w:t>Conclusions</w:t>
      </w:r>
      <w:r>
        <w:rPr>
          <w:rFonts w:ascii="Times New Roman" w:hAnsi="Times New Roman"/>
          <w:b w:val="0"/>
          <w:i w:val="0"/>
          <w:sz w:val="24"/>
        </w:rPr>
        <w:t>: The KOTHA Framework provides a reproducible, quantitative method to distinguish "evidence of no effect" from "no evidence of effect" and to inform trial design, evidence synthesis, and guideline interpretation.</w:t>
      </w:r>
    </w:p>
    <w:p>
      <w:r>
        <w:rPr>
          <w:rFonts w:ascii="Times New Roman" w:hAnsi="Times New Roman"/>
          <w:b/>
          <w:i w:val="0"/>
          <w:sz w:val="24"/>
        </w:rPr>
        <w:t>Keywords</w:t>
      </w:r>
      <w:r>
        <w:rPr>
          <w:rFonts w:ascii="Times New Roman" w:hAnsi="Times New Roman"/>
          <w:b w:val="0"/>
          <w:i w:val="0"/>
          <w:sz w:val="24"/>
        </w:rPr>
        <w:t>: randomized controlled trials, meta-analysis, observational studies, trial design, counterfactual simulation, Bayesian evidence synthesis, power analysis, GRADE, magnesium, statins, heart failure</w:t>
      </w:r>
    </w:p>
    <w:p>
      <w:pPr>
        <w:pStyle w:val="Heading2"/>
      </w:pPr>
      <w:r>
        <w:rPr>
          <w:color w:val="000000"/>
        </w:rPr>
        <w:t>Abbreviations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0"/>
              </w:rPr>
              <w:t>Abbreviation</w:t>
            </w:r>
          </w:p>
        </w:tc>
        <w:tc>
          <w:tcPr>
            <w:tcW w:type="dxa" w:w="4680"/>
          </w:tcPr>
          <w:p>
            <w:r/>
            <w:r>
              <w:rPr>
                <w:rFonts w:ascii="Times New Roman" w:hAnsi="Times New Roman"/>
                <w:b/>
                <w:sz w:val="20"/>
              </w:rPr>
              <w:t>Definition</w:t>
            </w:r>
          </w:p>
        </w:tc>
      </w:tr>
      <w:tr>
        <w:tc>
          <w:tcPr>
            <w:tcW w:type="dxa" w:w="4680"/>
          </w:tcPr>
          <w:p>
            <w:r/>
            <w:r>
              <w:rPr>
                <w:rFonts w:ascii="Times New Roman" w:hAnsi="Times New Roman"/>
                <w:sz w:val="20"/>
              </w:rPr>
              <w:t>ADEMP</w:t>
            </w:r>
          </w:p>
        </w:tc>
        <w:tc>
          <w:tcPr>
            <w:tcW w:type="dxa" w:w="4680"/>
          </w:tcPr>
          <w:p>
            <w:r/>
            <w:r>
              <w:rPr>
                <w:rFonts w:ascii="Times New Roman" w:hAnsi="Times New Roman"/>
                <w:sz w:val="20"/>
              </w:rPr>
              <w:t>Aims, Data-generating mechanisms, Estimands, Methods, Performance measures</w:t>
            </w:r>
          </w:p>
        </w:tc>
      </w:tr>
      <w:tr>
        <w:tc>
          <w:tcPr>
            <w:tcW w:type="dxa" w:w="4680"/>
          </w:tcPr>
          <w:p>
            <w:r/>
            <w:r>
              <w:rPr>
                <w:rFonts w:ascii="Times New Roman" w:hAnsi="Times New Roman"/>
                <w:sz w:val="20"/>
              </w:rPr>
              <w:t>AMI</w:t>
            </w:r>
          </w:p>
        </w:tc>
        <w:tc>
          <w:tcPr>
            <w:tcW w:type="dxa" w:w="4680"/>
          </w:tcPr>
          <w:p>
            <w:r/>
            <w:r>
              <w:rPr>
                <w:rFonts w:ascii="Times New Roman" w:hAnsi="Times New Roman"/>
                <w:sz w:val="20"/>
              </w:rPr>
              <w:t>Acute myocardial infarction</w:t>
            </w:r>
          </w:p>
        </w:tc>
      </w:tr>
      <w:tr>
        <w:tc>
          <w:tcPr>
            <w:tcW w:type="dxa" w:w="4680"/>
          </w:tcPr>
          <w:p>
            <w:r/>
            <w:r>
              <w:rPr>
                <w:rFonts w:ascii="Times New Roman" w:hAnsi="Times New Roman"/>
                <w:sz w:val="20"/>
              </w:rPr>
              <w:t>CrI</w:t>
            </w:r>
          </w:p>
        </w:tc>
        <w:tc>
          <w:tcPr>
            <w:tcW w:type="dxa" w:w="4680"/>
          </w:tcPr>
          <w:p>
            <w:r/>
            <w:r>
              <w:rPr>
                <w:rFonts w:ascii="Times New Roman" w:hAnsi="Times New Roman"/>
                <w:sz w:val="20"/>
              </w:rPr>
              <w:t>Credible interval</w:t>
            </w:r>
          </w:p>
        </w:tc>
      </w:tr>
      <w:tr>
        <w:tc>
          <w:tcPr>
            <w:tcW w:type="dxa" w:w="4680"/>
          </w:tcPr>
          <w:p>
            <w:r/>
            <w:r>
              <w:rPr>
                <w:rFonts w:ascii="Times New Roman" w:hAnsi="Times New Roman"/>
                <w:sz w:val="20"/>
              </w:rPr>
              <w:t>CI</w:t>
            </w:r>
          </w:p>
        </w:tc>
        <w:tc>
          <w:tcPr>
            <w:tcW w:type="dxa" w:w="4680"/>
          </w:tcPr>
          <w:p>
            <w:r/>
            <w:r>
              <w:rPr>
                <w:rFonts w:ascii="Times New Roman" w:hAnsi="Times New Roman"/>
                <w:sz w:val="20"/>
              </w:rPr>
              <w:t>Confidence interval</w:t>
            </w:r>
          </w:p>
        </w:tc>
      </w:tr>
      <w:tr>
        <w:tc>
          <w:tcPr>
            <w:tcW w:type="dxa" w:w="4680"/>
          </w:tcPr>
          <w:p>
            <w:r/>
            <w:r>
              <w:rPr>
                <w:rFonts w:ascii="Times New Roman" w:hAnsi="Times New Roman"/>
                <w:sz w:val="20"/>
              </w:rPr>
              <w:t>EBM</w:t>
            </w:r>
          </w:p>
        </w:tc>
        <w:tc>
          <w:tcPr>
            <w:tcW w:type="dxa" w:w="4680"/>
          </w:tcPr>
          <w:p>
            <w:r/>
            <w:r>
              <w:rPr>
                <w:rFonts w:ascii="Times New Roman" w:hAnsi="Times New Roman"/>
                <w:sz w:val="20"/>
              </w:rPr>
              <w:t>Evidence-based medicine</w:t>
            </w:r>
          </w:p>
        </w:tc>
      </w:tr>
      <w:tr>
        <w:tc>
          <w:tcPr>
            <w:tcW w:type="dxa" w:w="4680"/>
          </w:tcPr>
          <w:p>
            <w:r/>
            <w:r>
              <w:rPr>
                <w:rFonts w:ascii="Times New Roman" w:hAnsi="Times New Roman"/>
                <w:sz w:val="20"/>
              </w:rPr>
              <w:t>GRADE</w:t>
            </w:r>
          </w:p>
        </w:tc>
        <w:tc>
          <w:tcPr>
            <w:tcW w:type="dxa" w:w="4680"/>
          </w:tcPr>
          <w:p>
            <w:r/>
            <w:r>
              <w:rPr>
                <w:rFonts w:ascii="Times New Roman" w:hAnsi="Times New Roman"/>
                <w:sz w:val="20"/>
              </w:rPr>
              <w:t>Grading of Recommendations Assessment, Development and Evaluation</w:t>
            </w:r>
          </w:p>
        </w:tc>
      </w:tr>
      <w:tr>
        <w:tc>
          <w:tcPr>
            <w:tcW w:type="dxa" w:w="4680"/>
          </w:tcPr>
          <w:p>
            <w:r/>
            <w:r>
              <w:rPr>
                <w:rFonts w:ascii="Times New Roman" w:hAnsi="Times New Roman"/>
                <w:sz w:val="20"/>
              </w:rPr>
              <w:t>HF</w:t>
            </w:r>
          </w:p>
        </w:tc>
        <w:tc>
          <w:tcPr>
            <w:tcW w:type="dxa" w:w="4680"/>
          </w:tcPr>
          <w:p>
            <w:r/>
            <w:r>
              <w:rPr>
                <w:rFonts w:ascii="Times New Roman" w:hAnsi="Times New Roman"/>
                <w:sz w:val="20"/>
              </w:rPr>
              <w:t>Heart failure</w:t>
            </w:r>
          </w:p>
        </w:tc>
      </w:tr>
      <w:tr>
        <w:tc>
          <w:tcPr>
            <w:tcW w:type="dxa" w:w="4680"/>
          </w:tcPr>
          <w:p>
            <w:r/>
            <w:r>
              <w:rPr>
                <w:rFonts w:ascii="Times New Roman" w:hAnsi="Times New Roman"/>
                <w:sz w:val="20"/>
              </w:rPr>
              <w:t>HR</w:t>
            </w:r>
          </w:p>
        </w:tc>
        <w:tc>
          <w:tcPr>
            <w:tcW w:type="dxa" w:w="4680"/>
          </w:tcPr>
          <w:p>
            <w:r/>
            <w:r>
              <w:rPr>
                <w:rFonts w:ascii="Times New Roman" w:hAnsi="Times New Roman"/>
                <w:sz w:val="20"/>
              </w:rPr>
              <w:t>Hazard ratio</w:t>
            </w:r>
          </w:p>
        </w:tc>
      </w:tr>
      <w:tr>
        <w:tc>
          <w:tcPr>
            <w:tcW w:type="dxa" w:w="4680"/>
          </w:tcPr>
          <w:p>
            <w:r/>
            <w:r>
              <w:rPr>
                <w:rFonts w:ascii="Times New Roman" w:hAnsi="Times New Roman"/>
                <w:sz w:val="20"/>
              </w:rPr>
              <w:t>KOTHA</w:t>
            </w:r>
          </w:p>
        </w:tc>
        <w:tc>
          <w:tcPr>
            <w:tcW w:type="dxa" w:w="4680"/>
          </w:tcPr>
          <w:p>
            <w:r/>
            <w:r>
              <w:rPr>
                <w:rFonts w:ascii="Times New Roman" w:hAnsi="Times New Roman"/>
                <w:sz w:val="20"/>
              </w:rPr>
              <w:t>Knowledge-driven Observational-Trial Harmonization Approach</w:t>
            </w:r>
          </w:p>
        </w:tc>
      </w:tr>
      <w:tr>
        <w:tc>
          <w:tcPr>
            <w:tcW w:type="dxa" w:w="4680"/>
          </w:tcPr>
          <w:p>
            <w:r/>
            <w:r>
              <w:rPr>
                <w:rFonts w:ascii="Times New Roman" w:hAnsi="Times New Roman"/>
                <w:sz w:val="20"/>
              </w:rPr>
              <w:t>MCMC</w:t>
            </w:r>
          </w:p>
        </w:tc>
        <w:tc>
          <w:tcPr>
            <w:tcW w:type="dxa" w:w="4680"/>
          </w:tcPr>
          <w:p>
            <w:r/>
            <w:r>
              <w:rPr>
                <w:rFonts w:ascii="Times New Roman" w:hAnsi="Times New Roman"/>
                <w:sz w:val="20"/>
              </w:rPr>
              <w:t>Markov chain Monte Carlo</w:t>
            </w:r>
          </w:p>
        </w:tc>
      </w:tr>
      <w:tr>
        <w:tc>
          <w:tcPr>
            <w:tcW w:type="dxa" w:w="4680"/>
          </w:tcPr>
          <w:p>
            <w:r/>
            <w:r>
              <w:rPr>
                <w:rFonts w:ascii="Times New Roman" w:hAnsi="Times New Roman"/>
                <w:sz w:val="20"/>
              </w:rPr>
              <w:t>OIS</w:t>
            </w:r>
          </w:p>
        </w:tc>
        <w:tc>
          <w:tcPr>
            <w:tcW w:type="dxa" w:w="4680"/>
          </w:tcPr>
          <w:p>
            <w:r/>
            <w:r>
              <w:rPr>
                <w:rFonts w:ascii="Times New Roman" w:hAnsi="Times New Roman"/>
                <w:sz w:val="20"/>
              </w:rPr>
              <w:t>Optimal information size</w:t>
            </w:r>
          </w:p>
        </w:tc>
      </w:tr>
      <w:tr>
        <w:tc>
          <w:tcPr>
            <w:tcW w:type="dxa" w:w="4680"/>
          </w:tcPr>
          <w:p>
            <w:r/>
            <w:r>
              <w:rPr>
                <w:rFonts w:ascii="Times New Roman" w:hAnsi="Times New Roman"/>
                <w:sz w:val="20"/>
              </w:rPr>
              <w:t>OR</w:t>
            </w:r>
          </w:p>
        </w:tc>
        <w:tc>
          <w:tcPr>
            <w:tcW w:type="dxa" w:w="4680"/>
          </w:tcPr>
          <w:p>
            <w:r/>
            <w:r>
              <w:rPr>
                <w:rFonts w:ascii="Times New Roman" w:hAnsi="Times New Roman"/>
                <w:sz w:val="20"/>
              </w:rPr>
              <w:t>Odds ratio</w:t>
            </w:r>
          </w:p>
        </w:tc>
      </w:tr>
      <w:tr>
        <w:tc>
          <w:tcPr>
            <w:tcW w:type="dxa" w:w="4680"/>
          </w:tcPr>
          <w:p>
            <w:r/>
            <w:r>
              <w:rPr>
                <w:rFonts w:ascii="Times New Roman" w:hAnsi="Times New Roman"/>
                <w:sz w:val="20"/>
              </w:rPr>
              <w:t>RCT</w:t>
            </w:r>
          </w:p>
        </w:tc>
        <w:tc>
          <w:tcPr>
            <w:tcW w:type="dxa" w:w="4680"/>
          </w:tcPr>
          <w:p>
            <w:r/>
            <w:r>
              <w:rPr>
                <w:rFonts w:ascii="Times New Roman" w:hAnsi="Times New Roman"/>
                <w:sz w:val="20"/>
              </w:rPr>
              <w:t>Randomized controlled trial</w:t>
            </w:r>
          </w:p>
        </w:tc>
      </w:tr>
      <w:tr>
        <w:tc>
          <w:tcPr>
            <w:tcW w:type="dxa" w:w="4680"/>
          </w:tcPr>
          <w:p>
            <w:r/>
            <w:r>
              <w:rPr>
                <w:rFonts w:ascii="Times New Roman" w:hAnsi="Times New Roman"/>
                <w:sz w:val="20"/>
              </w:rPr>
              <w:t>TSA</w:t>
            </w:r>
          </w:p>
        </w:tc>
        <w:tc>
          <w:tcPr>
            <w:tcW w:type="dxa" w:w="4680"/>
          </w:tcPr>
          <w:p>
            <w:r/>
            <w:r>
              <w:rPr>
                <w:rFonts w:ascii="Times New Roman" w:hAnsi="Times New Roman"/>
                <w:sz w:val="20"/>
              </w:rPr>
              <w:t>Trial sequential analysis</w:t>
            </w:r>
          </w:p>
        </w:tc>
      </w:tr>
    </w:tbl>
    <w:p>
      <w:pPr>
        <w:pStyle w:val="Heading2"/>
      </w:pPr>
      <w:r>
        <w:rPr>
          <w:color w:val="000000"/>
        </w:rPr>
        <w:t>Introduction</w:t>
      </w:r>
    </w:p>
    <w:p>
      <w:r>
        <w:rPr>
          <w:rFonts w:ascii="Times New Roman" w:hAnsi="Times New Roman"/>
          <w:b w:val="0"/>
          <w:i w:val="0"/>
          <w:sz w:val="24"/>
        </w:rPr>
        <w:t>Evidence-based medicine places RCTs and their meta-analyses at the apex of the evidence hierarchy because randomization minimizes confounding and provides internally valid estimates of treatment effects [1]. Nevertheless, meta-analyses of observational studies and RCTs frequently disagree: observational evidence may show statistically significant benefit while RCT evidence does not [2-3]. The conventional explanation invokes residual confounding, selection bias, or publication bias in observational data. While these sources of bias are real, they may not fully account for the discordance.</w:t>
      </w:r>
    </w:p>
    <w:p>
      <w:r>
        <w:rPr>
          <w:rFonts w:ascii="Times New Roman" w:hAnsi="Times New Roman"/>
          <w:b w:val="0"/>
          <w:i w:val="0"/>
          <w:sz w:val="24"/>
        </w:rPr>
        <w:t xml:space="preserve">An alternative, structural explanation deserves systematic attention. RCT enrollment criteria, consent processes, and site selection progressively restrict the study population [4-5].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term this phenomenon </w:t>
      </w:r>
      <w:r>
        <w:rPr>
          <w:rFonts w:ascii="Times New Roman" w:hAnsi="Times New Roman"/>
          <w:b/>
          <w:i w:val="0"/>
          <w:sz w:val="24"/>
        </w:rPr>
        <w:t>structural information loss</w:t>
      </w:r>
      <w:r>
        <w:rPr>
          <w:rFonts w:ascii="Times New Roman" w:hAnsi="Times New Roman"/>
          <w:b w:val="0"/>
          <w:i w:val="0"/>
          <w:sz w:val="24"/>
        </w:rPr>
        <w:t>, a five-step causal chain: representativeness loss; event concentration in excluded populations; inadequate design compensation; systematic underpowering; and, ultimately, distorted recommendations when "no statistically significant difference" is interpreted as "no effect".</w:t>
      </w:r>
    </w:p>
    <w:p>
      <w:r>
        <w:rPr>
          <w:rFonts w:ascii="Times New Roman" w:hAnsi="Times New Roman"/>
          <w:b w:val="0"/>
          <w:i w:val="0"/>
          <w:sz w:val="24"/>
        </w:rPr>
        <w:t>The concepts of optimal information size (OIS) and trial sequential analysis (TSA) provide partial remedies. OIS recognizes that meta-analyses, like individual trials, require a minimum information size to reach reliable conclusions [6-7]. TSA applies sequential monitoring boundaries to cumulative meta-analysis, distinguishing evidence of no effect (futility boundary crossed) from no evidence of effect (boundary not crossed) [8-9]. However, these tools are underused in guideline development, and neither directly quantifies the information loss attributable to enrollment-driven risk-profile shifts.</w:t>
      </w:r>
    </w:p>
    <w:p>
      <w:r>
        <w:rPr>
          <w:rFonts w:ascii="Times New Roman" w:hAnsi="Times New Roman"/>
          <w:b w:val="0"/>
          <w:i w:val="0"/>
          <w:sz w:val="24"/>
        </w:rPr>
        <w:t>A number of trial design strategies can mitigate event dilution (Table 1), including stratified randomization, prognostic enrichment, event-driven designs, adaptive sample-size re-estimation, and pragmatic or registry-based trials. Yet no existing framework integrates prospective power assessment, retrospective diagnostic evaluation, and structured evidence interpretation for completed or planned RCTs.</w:t>
      </w:r>
    </w:p>
    <w:p>
      <w:r>
        <w:rPr>
          <w:rFonts w:ascii="Times New Roman" w:hAnsi="Times New Roman"/>
          <w:b w:val="0"/>
          <w:i w:val="0"/>
          <w:sz w:val="24"/>
        </w:rPr>
        <w:t>We therefore developed the Knowledge-driven Observational-Trial Harmonization Approach (KOTHA) Framework. It is a three-module system that (1) diagnoses structural information loss through counterfactual power simulation (Module K), (2) integrates discordant evidence through hierarchical Bayesian meta-analysis (Module T), and (3) translates quantitative findings into GRADE-compatible evidence assessment (Module H). This paper describes the framework and illustrates its application to two canonical cases of observational-RCT divergence, with an emphasis on implications for clinical trial design.</w:t>
      </w:r>
    </w:p>
    <w:p>
      <w:r>
        <w:rPr>
          <w:rFonts w:ascii="Times New Roman" w:hAnsi="Times New Roman"/>
          <w:b/>
          <w:i w:val="0"/>
          <w:sz w:val="24"/>
        </w:rPr>
        <w:t>Table 1: Existing approaches to mitigate event dilution in RCTs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Approach</w:t>
            </w:r>
          </w:p>
        </w:tc>
        <w:tc>
          <w:tcPr>
            <w:tcW w:type="dxa" w:w="3120"/>
          </w:tcPr>
          <w:p>
            <w:r/>
            <w:r>
              <w:rPr>
                <w:rFonts w:ascii="Times New Roman" w:hAnsi="Times New Roman"/>
                <w:b/>
                <w:sz w:val="20"/>
              </w:rPr>
              <w:t>Mechanism</w:t>
            </w:r>
          </w:p>
        </w:tc>
        <w:tc>
          <w:tcPr>
            <w:tcW w:type="dxa" w:w="3120"/>
          </w:tcPr>
          <w:p>
            <w:r/>
            <w:r>
              <w:rPr>
                <w:rFonts w:ascii="Times New Roman" w:hAnsi="Times New Roman"/>
                <w:b/>
                <w:sz w:val="20"/>
              </w:rPr>
              <w:t>Adoption level</w:t>
            </w:r>
          </w:p>
        </w:tc>
      </w:tr>
      <w:tr>
        <w:tc>
          <w:tcPr>
            <w:tcW w:type="dxa" w:w="3120"/>
          </w:tcPr>
          <w:p>
            <w:r/>
            <w:r>
              <w:rPr>
                <w:rFonts w:ascii="Times New Roman" w:hAnsi="Times New Roman"/>
                <w:sz w:val="20"/>
              </w:rPr>
              <w:t>Stratified randomization</w:t>
            </w:r>
          </w:p>
        </w:tc>
        <w:tc>
          <w:tcPr>
            <w:tcW w:type="dxa" w:w="3120"/>
          </w:tcPr>
          <w:p>
            <w:r/>
            <w:r>
              <w:rPr>
                <w:rFonts w:ascii="Times New Roman" w:hAnsi="Times New Roman"/>
                <w:sz w:val="20"/>
              </w:rPr>
              <w:t>Risk-based stratification of randomization and analysis</w:t>
            </w:r>
          </w:p>
        </w:tc>
        <w:tc>
          <w:tcPr>
            <w:tcW w:type="dxa" w:w="3120"/>
          </w:tcPr>
          <w:p>
            <w:r/>
            <w:r>
              <w:rPr>
                <w:rFonts w:ascii="Times New Roman" w:hAnsi="Times New Roman"/>
                <w:sz w:val="20"/>
              </w:rPr>
              <w:t>Common for basic strata; rare for event-rate-driven strata</w:t>
            </w:r>
          </w:p>
        </w:tc>
      </w:tr>
      <w:tr>
        <w:tc>
          <w:tcPr>
            <w:tcW w:type="dxa" w:w="3120"/>
          </w:tcPr>
          <w:p>
            <w:r/>
            <w:r>
              <w:rPr>
                <w:rFonts w:ascii="Times New Roman" w:hAnsi="Times New Roman"/>
                <w:sz w:val="20"/>
              </w:rPr>
              <w:t>Prognostic enrichment</w:t>
            </w:r>
          </w:p>
        </w:tc>
        <w:tc>
          <w:tcPr>
            <w:tcW w:type="dxa" w:w="3120"/>
          </w:tcPr>
          <w:p>
            <w:r/>
            <w:r>
              <w:rPr>
                <w:rFonts w:ascii="Times New Roman" w:hAnsi="Times New Roman"/>
                <w:sz w:val="20"/>
              </w:rPr>
              <w:t>Intentional enrollment of high-risk patients to increase event rates</w:t>
            </w:r>
          </w:p>
        </w:tc>
        <w:tc>
          <w:tcPr>
            <w:tcW w:type="dxa" w:w="3120"/>
          </w:tcPr>
          <w:p>
            <w:r/>
            <w:r>
              <w:rPr>
                <w:rFonts w:ascii="Times New Roman" w:hAnsi="Times New Roman"/>
                <w:sz w:val="20"/>
              </w:rPr>
              <w:t>Endorsed by FDA and EMA guidance; limited in non-drug trials</w:t>
            </w:r>
          </w:p>
        </w:tc>
      </w:tr>
      <w:tr>
        <w:tc>
          <w:tcPr>
            <w:tcW w:type="dxa" w:w="3120"/>
          </w:tcPr>
          <w:p>
            <w:r/>
            <w:r>
              <w:rPr>
                <w:rFonts w:ascii="Times New Roman" w:hAnsi="Times New Roman"/>
                <w:sz w:val="20"/>
              </w:rPr>
              <w:t>Event-driven design</w:t>
            </w:r>
          </w:p>
        </w:tc>
        <w:tc>
          <w:tcPr>
            <w:tcW w:type="dxa" w:w="3120"/>
          </w:tcPr>
          <w:p>
            <w:r/>
            <w:r>
              <w:rPr>
                <w:rFonts w:ascii="Times New Roman" w:hAnsi="Times New Roman"/>
                <w:sz w:val="20"/>
              </w:rPr>
              <w:t>Continue enrollment/follow-up until target event count is reached</w:t>
            </w:r>
          </w:p>
        </w:tc>
        <w:tc>
          <w:tcPr>
            <w:tcW w:type="dxa" w:w="3120"/>
          </w:tcPr>
          <w:p>
            <w:r/>
            <w:r>
              <w:rPr>
                <w:rFonts w:ascii="Times New Roman" w:hAnsi="Times New Roman"/>
                <w:sz w:val="20"/>
              </w:rPr>
              <w:t>Common in cardiology and oncology; rare in other specialties</w:t>
            </w:r>
          </w:p>
        </w:tc>
      </w:tr>
      <w:tr>
        <w:tc>
          <w:tcPr>
            <w:tcW w:type="dxa" w:w="3120"/>
          </w:tcPr>
          <w:p>
            <w:r/>
            <w:r>
              <w:rPr>
                <w:rFonts w:ascii="Times New Roman" w:hAnsi="Times New Roman"/>
                <w:sz w:val="20"/>
              </w:rPr>
              <w:t>Adaptive sample size re-estimation</w:t>
            </w:r>
          </w:p>
        </w:tc>
        <w:tc>
          <w:tcPr>
            <w:tcW w:type="dxa" w:w="3120"/>
          </w:tcPr>
          <w:p>
            <w:r/>
            <w:r>
              <w:rPr>
                <w:rFonts w:ascii="Times New Roman" w:hAnsi="Times New Roman"/>
                <w:sz w:val="20"/>
              </w:rPr>
              <w:t>Mid-trial re-estimation of required sample size based on observed event rates</w:t>
            </w:r>
          </w:p>
        </w:tc>
        <w:tc>
          <w:tcPr>
            <w:tcW w:type="dxa" w:w="3120"/>
          </w:tcPr>
          <w:p>
            <w:r/>
            <w:r>
              <w:rPr>
                <w:rFonts w:ascii="Times New Roman" w:hAnsi="Times New Roman"/>
                <w:sz w:val="20"/>
              </w:rPr>
              <w:t>Statistically powerful; regulatory complexity limits adoption</w:t>
            </w:r>
          </w:p>
        </w:tc>
      </w:tr>
      <w:tr>
        <w:tc>
          <w:tcPr>
            <w:tcW w:type="dxa" w:w="3120"/>
          </w:tcPr>
          <w:p>
            <w:r/>
            <w:r>
              <w:rPr>
                <w:rFonts w:ascii="Times New Roman" w:hAnsi="Times New Roman"/>
                <w:sz w:val="20"/>
              </w:rPr>
              <w:t>External data-informed design</w:t>
            </w:r>
          </w:p>
        </w:tc>
        <w:tc>
          <w:tcPr>
            <w:tcW w:type="dxa" w:w="3120"/>
          </w:tcPr>
          <w:p>
            <w:r/>
            <w:r>
              <w:rPr>
                <w:rFonts w:ascii="Times New Roman" w:hAnsi="Times New Roman"/>
                <w:sz w:val="20"/>
              </w:rPr>
              <w:t>Use retrospective data to quantify expected event loss and adjust design</w:t>
            </w:r>
          </w:p>
        </w:tc>
        <w:tc>
          <w:tcPr>
            <w:tcW w:type="dxa" w:w="3120"/>
          </w:tcPr>
          <w:p>
            <w:r/>
            <w:r>
              <w:rPr>
                <w:rFonts w:ascii="Times New Roman" w:hAnsi="Times New Roman"/>
                <w:sz w:val="20"/>
              </w:rPr>
              <w:t>Ideal but very rare in practice</w:t>
            </w:r>
          </w:p>
        </w:tc>
      </w:tr>
      <w:tr>
        <w:tc>
          <w:tcPr>
            <w:tcW w:type="dxa" w:w="3120"/>
          </w:tcPr>
          <w:p>
            <w:r/>
            <w:r>
              <w:rPr>
                <w:rFonts w:ascii="Times New Roman" w:hAnsi="Times New Roman"/>
                <w:sz w:val="20"/>
              </w:rPr>
              <w:t>Pragmatic / registry-based trials</w:t>
            </w:r>
          </w:p>
        </w:tc>
        <w:tc>
          <w:tcPr>
            <w:tcW w:type="dxa" w:w="3120"/>
          </w:tcPr>
          <w:p>
            <w:r/>
            <w:r>
              <w:rPr>
                <w:rFonts w:ascii="Times New Roman" w:hAnsi="Times New Roman"/>
                <w:sz w:val="20"/>
              </w:rPr>
              <w:t>Broad eligibility, minimal exclusions, real-world enrollment</w:t>
            </w:r>
          </w:p>
        </w:tc>
        <w:tc>
          <w:tcPr>
            <w:tcW w:type="dxa" w:w="3120"/>
          </w:tcPr>
          <w:p>
            <w:r/>
            <w:r>
              <w:rPr>
                <w:rFonts w:ascii="Times New Roman" w:hAnsi="Times New Roman"/>
                <w:sz w:val="20"/>
              </w:rPr>
              <w:t>Growing (e.g., REMAP-CAP, RECOVERY) but not yet standard</w:t>
            </w:r>
          </w:p>
        </w:tc>
      </w:tr>
    </w:tbl>
    <w:p>
      <w:pPr>
        <w:pStyle w:val="Heading2"/>
      </w:pPr>
      <w:r>
        <w:rPr>
          <w:color w:val="000000"/>
        </w:rPr>
        <w:t>Methods</w:t>
      </w:r>
    </w:p>
    <w:p>
      <w:pPr>
        <w:pStyle w:val="Heading3"/>
      </w:pPr>
      <w:r>
        <w:rPr>
          <w:color w:val="000000"/>
        </w:rPr>
        <w:t>Overview</w:t>
      </w:r>
    </w:p>
    <w:p>
      <w:r>
        <w:rPr>
          <w:rFonts w:ascii="Times New Roman" w:hAnsi="Times New Roman"/>
          <w:b w:val="0"/>
          <w:i w:val="0"/>
          <w:sz w:val="24"/>
        </w:rPr>
        <w:t>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(Hermeneutic Guideline Interpreter) translates module outputs into a structured GRADE assessment. Each module can be used independently, but the framework is most informative when applied in sequence.</w:t>
      </w:r>
    </w:p>
    <w:p>
      <w:pPr>
        <w:pStyle w:val="Heading3"/>
      </w:pPr>
      <w:r>
        <w:rPr>
          <w:color w:val="000000"/>
        </w:rPr>
        <w:t>Module K: Counterfactual power simulation</w:t>
      </w:r>
    </w:p>
    <w:p>
      <w:r>
        <w:rPr>
          <w:rFonts w:ascii="Times New Roman" w:hAnsi="Times New Roman"/>
          <w:b w:val="0"/>
          <w:i w:val="0"/>
          <w:sz w:val="24"/>
        </w:rPr>
        <w:t>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[10].</w:t>
      </w:r>
    </w:p>
    <w:p>
      <w:r>
        <w:rPr>
          <w:rFonts w:ascii="Times New Roman" w:hAnsi="Times New Roman"/>
          <w:b w:val="0"/>
          <w:i w:val="0"/>
          <w:sz w:val="24"/>
        </w:rPr>
        <w:t>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w:r>
        <w:rPr>
          <w:rFonts w:ascii="Times New Roman" w:hAnsi="Times New Roman"/>
          <w:b w:val="0"/>
          <w:i w:val="0"/>
          <w:sz w:val="24"/>
        </w:rPr>
        <w:t>For each scenario, we compute the expected control event rate p_c and treatment event rate p_t = (p_c · OR) / (1 - p_c + p_c · OR). The total expected number of events is D = N(p_c + p_t)/2 for a trial of N patients randomized 1:1. Under the Schoenfeld approximation [11], the standard error of the log-OR is approximately 2/√D, yielding the power function</w:t>
      </w:r>
    </w:p>
    <w:p>
      <w:pPr>
        <w:jc w:val="center"/>
      </w:pPr>
      <w:r>
        <w:rPr>
          <w:rFonts w:ascii="Times New Roman" w:hAnsi="Times New Roman"/>
          <w:b w:val="0"/>
          <w:i/>
          <w:sz w:val="24"/>
        </w:rPr>
        <w:t>Power = Φ( |log(OR)| · √D / 2 - z_{α/2} )</w:t>
      </w:r>
    </w:p>
    <w:p>
      <w:r>
        <w:rPr>
          <w:rFonts w:ascii="Times New Roman" w:hAnsi="Times New Roman"/>
          <w:b w:val="0"/>
          <w:i w:val="0"/>
          <w:sz w:val="24"/>
        </w:rPr>
        <w:t>where Φ is the standard normal cumulative distribution function. The ratio ρ = p_c^{(S2)} / p_c^{(S1)} quantifies event dilution. Module K reports power across a grid of assumed true effects and computes the sample size required to reach 80% power under each scenario.</w:t>
      </w:r>
    </w:p>
    <w:p>
      <w:pPr>
        <w:pStyle w:val="Heading3"/>
      </w:pPr>
      <w:r>
        <w:rPr>
          <w:color w:val="000000"/>
        </w:rPr>
        <w:t>Module T: Hierarchical Bayesian evidence integration</w:t>
      </w:r>
    </w:p>
    <w:p>
      <w:r>
        <w:rPr>
          <w:rFonts w:ascii="Times New Roman" w:hAnsi="Times New Roman"/>
          <w:b w:val="0"/>
          <w:i w:val="0"/>
          <w:sz w:val="24"/>
        </w:rPr>
        <w:t>When Module K indicates that RCT evidence is informationally insufficient, Module T combines RCT and observational evidence while explicitly modeling design-specific bias. Let y_i denote the reported log effect size from study i with standard error s_i. The model is y_i ~ Normal(θ_i, s_i²) and θ_i = μ + u_i + b_i, where μ is the overall effect, u_i ~ Normal(0, τ²) captures between-study heterogeneity, and b_i captures design-specific bias. Alternative effect measures such as restricted mean survival time can be substituted when proportional-hazards assumptions are questionable [12-13]. Evidence-based priors have been proposed to anchor historical expectations while limiting prior-data conflict [14]. We use power-prior discounting [15] to down-weight observational evidence by a factor α ∈ [0, 1] and also present bias-adjusted normal-approximation analyses. Posterior distributions are obtained by Metropolis-Hastings MCMC (15,000 post-warmup iterations after 3,000 warmup) for each α in (0, 0.1, 0.2, 0.3, 0.5, 0.7, 1.0).</w:t>
      </w:r>
    </w:p>
    <w:p>
      <w:pPr>
        <w:pStyle w:val="Heading3"/>
      </w:pPr>
      <w:r>
        <w:rPr>
          <w:color w:val="000000"/>
        </w:rPr>
        <w:t>Module H: Guideline interpretation</w:t>
      </w:r>
    </w:p>
    <w:p>
      <w:r>
        <w:rPr>
          <w:rFonts w:ascii="Times New Roman" w:hAnsi="Times New Roman"/>
          <w:b w:val="0"/>
          <w:i w:val="0"/>
          <w:sz w:val="24"/>
        </w:rPr>
        <w:t>Module H maps the outputs of Modules K and T onto the GRADE framework [1]. It includes five assessments (Table 2): information sufficiency (OIS vs observed events), confidence interval interpretation, representativeness (event rate ratio), TSA boundary status, and recommended language. The result is a KOTHA-enhanced certainty rating and recommendation that explicitly distinguishes "evidence of effect," "evidence of no effect," and "no evidence of effect (inconclusive)."</w:t>
      </w:r>
    </w:p>
    <w:p>
      <w:pPr>
        <w:pStyle w:val="Heading3"/>
      </w:pPr>
      <w:r>
        <w:rPr>
          <w:color w:val="000000"/>
        </w:rPr>
        <w:t>Data sources and statistical analysis</w:t>
      </w:r>
    </w:p>
    <w:p>
      <w:r>
        <w:rPr>
          <w:rFonts w:ascii="Times New Roman" w:hAnsi="Times New Roman"/>
          <w:b w:val="0"/>
          <w:i w:val="0"/>
          <w:sz w:val="24"/>
        </w:rPr>
        <w:t>For magnesium in AMI we used study-level event counts extracted from published overviews [16-17]. For statins in heart failure we used aggregate data from five observational cohorts [18-22] and two RCTs [23-24]. We used DerSimonian-Laird random-effects meta-analysis and computed 95% confidence intervals. OIS and TSA were calculated using standard formulas [6-9]. All analyses were performed with the Python code in the public repository.</w:t>
      </w:r>
    </w:p>
    <w:p>
      <w:pPr>
        <w:jc w:val="center"/>
      </w:pPr>
      <w:r>
        <w:drawing>
          <wp:inline xmlns:a="http://schemas.openxmlformats.org/drawingml/2006/main" xmlns:pic="http://schemas.openxmlformats.org/drawingml/2006/picture">
            <wp:extent cx="5029200" cy="353625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9"/>
                    <a:stretch>
                      <a:fillRect/>
                    </a:stretch>
                  </pic:blipFill>
                  <pic:spPr>
                    <a:xfrm>
                      <a:off x="0" y="0"/>
                      <a:ext cx="5029200" cy="353625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r>
        <w:rPr>
          <w:rFonts w:ascii="Times New Roman" w:hAnsi="Times New Roman"/>
          <w:b/>
          <w:i w:val="0"/>
          <w:sz w:val="24"/>
        </w:rPr>
        <w:t>Table 2: Module H assessment checklist mapped to GRADE domains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Module H assessment</w:t>
            </w:r>
          </w:p>
        </w:tc>
        <w:tc>
          <w:tcPr>
            <w:tcW w:type="dxa" w:w="2340"/>
          </w:tcPr>
          <w:p>
            <w:r/>
            <w:r>
              <w:rPr>
                <w:rFonts w:ascii="Times New Roman" w:hAnsi="Times New Roman"/>
                <w:b/>
                <w:sz w:val="20"/>
              </w:rPr>
              <w:t>GRADE domain</w:t>
            </w:r>
          </w:p>
        </w:tc>
        <w:tc>
          <w:tcPr>
            <w:tcW w:type="dxa" w:w="2340"/>
          </w:tcPr>
          <w:p>
            <w:r/>
            <w:r>
              <w:rPr>
                <w:rFonts w:ascii="Times New Roman" w:hAnsi="Times New Roman"/>
                <w:b/>
                <w:sz w:val="20"/>
              </w:rPr>
              <w:t>Analytical tool</w:t>
            </w:r>
          </w:p>
        </w:tc>
        <w:tc>
          <w:tcPr>
            <w:tcW w:type="dxa" w:w="2340"/>
          </w:tcPr>
          <w:p>
            <w:r/>
            <w:r>
              <w:rPr>
                <w:rFonts w:ascii="Times New Roman" w:hAnsi="Times New Roman"/>
                <w:b/>
                <w:sz w:val="20"/>
              </w:rPr>
              <w:t>Decision criterion</w:t>
            </w:r>
          </w:p>
        </w:tc>
      </w:tr>
      <w:tr>
        <w:tc>
          <w:tcPr>
            <w:tcW w:type="dxa" w:w="2340"/>
          </w:tcPr>
          <w:p>
            <w:r/>
            <w:r>
              <w:rPr>
                <w:rFonts w:ascii="Times New Roman" w:hAnsi="Times New Roman"/>
                <w:sz w:val="20"/>
              </w:rPr>
              <w:t>Information sufficiency</w:t>
            </w:r>
          </w:p>
        </w:tc>
        <w:tc>
          <w:tcPr>
            <w:tcW w:type="dxa" w:w="2340"/>
          </w:tcPr>
          <w:p>
            <w:r/>
            <w:r>
              <w:rPr>
                <w:rFonts w:ascii="Times New Roman" w:hAnsi="Times New Roman"/>
                <w:sz w:val="20"/>
              </w:rPr>
              <w:t>Imprecision</w:t>
            </w:r>
          </w:p>
        </w:tc>
        <w:tc>
          <w:tcPr>
            <w:tcW w:type="dxa" w:w="2340"/>
          </w:tcPr>
          <w:p>
            <w:r/>
            <w:r>
              <w:rPr>
                <w:rFonts w:ascii="Times New Roman" w:hAnsi="Times New Roman"/>
                <w:sz w:val="20"/>
              </w:rPr>
              <w:t>OIS calculation</w:t>
            </w:r>
          </w:p>
        </w:tc>
        <w:tc>
          <w:tcPr>
            <w:tcW w:type="dxa" w:w="2340"/>
          </w:tcPr>
          <w:p>
            <w:r/>
            <w:r>
              <w:rPr>
                <w:rFonts w:ascii="Times New Roman" w:hAnsi="Times New Roman"/>
                <w:sz w:val="20"/>
              </w:rPr>
              <w:t>Total events &lt; OIS: informationally insufficient</w:t>
            </w:r>
          </w:p>
        </w:tc>
      </w:tr>
      <w:tr>
        <w:tc>
          <w:tcPr>
            <w:tcW w:type="dxa" w:w="2340"/>
          </w:tcPr>
          <w:p>
            <w:r/>
            <w:r>
              <w:rPr>
                <w:rFonts w:ascii="Times New Roman" w:hAnsi="Times New Roman"/>
                <w:sz w:val="20"/>
              </w:rPr>
              <w:t>CI assessment</w:t>
            </w:r>
          </w:p>
        </w:tc>
        <w:tc>
          <w:tcPr>
            <w:tcW w:type="dxa" w:w="2340"/>
          </w:tcPr>
          <w:p>
            <w:r/>
            <w:r>
              <w:rPr>
                <w:rFonts w:ascii="Times New Roman" w:hAnsi="Times New Roman"/>
                <w:sz w:val="20"/>
              </w:rPr>
              <w:t>Imprecision</w:t>
            </w:r>
          </w:p>
        </w:tc>
        <w:tc>
          <w:tcPr>
            <w:tcW w:type="dxa" w:w="2340"/>
          </w:tcPr>
          <w:p>
            <w:r/>
            <w:r>
              <w:rPr>
                <w:rFonts w:ascii="Times New Roman" w:hAnsi="Times New Roman"/>
                <w:sz w:val="20"/>
              </w:rPr>
              <w:t>CI inspection</w:t>
            </w:r>
          </w:p>
        </w:tc>
        <w:tc>
          <w:tcPr>
            <w:tcW w:type="dxa" w:w="2340"/>
          </w:tcPr>
          <w:p>
            <w:r/>
            <w:r>
              <w:rPr>
                <w:rFonts w:ascii="Times New Roman" w:hAnsi="Times New Roman"/>
                <w:sz w:val="20"/>
              </w:rPr>
              <w:t>CI spans benefit through null: inconclusive</w:t>
            </w:r>
          </w:p>
        </w:tc>
      </w:tr>
      <w:tr>
        <w:tc>
          <w:tcPr>
            <w:tcW w:type="dxa" w:w="2340"/>
          </w:tcPr>
          <w:p>
            <w:r/>
            <w:r>
              <w:rPr>
                <w:rFonts w:ascii="Times New Roman" w:hAnsi="Times New Roman"/>
                <w:sz w:val="20"/>
              </w:rPr>
              <w:t>Representativeness</w:t>
            </w:r>
          </w:p>
        </w:tc>
        <w:tc>
          <w:tcPr>
            <w:tcW w:type="dxa" w:w="2340"/>
          </w:tcPr>
          <w:p>
            <w:r/>
            <w:r>
              <w:rPr>
                <w:rFonts w:ascii="Times New Roman" w:hAnsi="Times New Roman"/>
                <w:sz w:val="20"/>
              </w:rPr>
              <w:t>Indirectness</w:t>
            </w:r>
          </w:p>
        </w:tc>
        <w:tc>
          <w:tcPr>
            <w:tcW w:type="dxa" w:w="2340"/>
          </w:tcPr>
          <w:p>
            <w:r/>
            <w:r>
              <w:rPr>
                <w:rFonts w:ascii="Times New Roman" w:hAnsi="Times New Roman"/>
                <w:sz w:val="20"/>
              </w:rPr>
              <w:t>Module K event rate ratio</w:t>
            </w:r>
          </w:p>
        </w:tc>
        <w:tc>
          <w:tcPr>
            <w:tcW w:type="dxa" w:w="2340"/>
          </w:tcPr>
          <w:p>
            <w:r/>
            <w:r>
              <w:rPr>
                <w:rFonts w:ascii="Times New Roman" w:hAnsi="Times New Roman"/>
                <w:sz w:val="20"/>
              </w:rPr>
              <w:t>Event rate ratio &gt; 1.5 or &lt; 0.67: indirectness concern</w:t>
            </w:r>
          </w:p>
        </w:tc>
      </w:tr>
      <w:tr>
        <w:tc>
          <w:tcPr>
            <w:tcW w:type="dxa" w:w="2340"/>
          </w:tcPr>
          <w:p>
            <w:r/>
            <w:r>
              <w:rPr>
                <w:rFonts w:ascii="Times New Roman" w:hAnsi="Times New Roman"/>
                <w:sz w:val="20"/>
              </w:rPr>
              <w:t>TSA</w:t>
            </w:r>
          </w:p>
        </w:tc>
        <w:tc>
          <w:tcPr>
            <w:tcW w:type="dxa" w:w="2340"/>
          </w:tcPr>
          <w:p>
            <w:r/>
            <w:r>
              <w:rPr>
                <w:rFonts w:ascii="Times New Roman" w:hAnsi="Times New Roman"/>
                <w:sz w:val="20"/>
              </w:rPr>
              <w:t>Imprecision</w:t>
            </w:r>
          </w:p>
        </w:tc>
        <w:tc>
          <w:tcPr>
            <w:tcW w:type="dxa" w:w="2340"/>
          </w:tcPr>
          <w:p>
            <w:r/>
            <w:r>
              <w:rPr>
                <w:rFonts w:ascii="Times New Roman" w:hAnsi="Times New Roman"/>
                <w:sz w:val="20"/>
              </w:rPr>
              <w:t>Sequential monitoring boundaries</w:t>
            </w:r>
          </w:p>
        </w:tc>
        <w:tc>
          <w:tcPr>
            <w:tcW w:type="dxa" w:w="2340"/>
          </w:tcPr>
          <w:p>
            <w:r/>
            <w:r>
              <w:rPr>
                <w:rFonts w:ascii="Times New Roman" w:hAnsi="Times New Roman"/>
                <w:sz w:val="20"/>
              </w:rPr>
              <w:t>Boundaries not crossed: interim analysis equivalent</w:t>
            </w:r>
          </w:p>
        </w:tc>
      </w:tr>
      <w:tr>
        <w:tc>
          <w:tcPr>
            <w:tcW w:type="dxa" w:w="2340"/>
          </w:tcPr>
          <w:p>
            <w:r/>
            <w:r>
              <w:rPr>
                <w:rFonts w:ascii="Times New Roman" w:hAnsi="Times New Roman"/>
                <w:sz w:val="20"/>
              </w:rPr>
              <w:t>Recommendation language</w:t>
            </w:r>
          </w:p>
        </w:tc>
        <w:tc>
          <w:tcPr>
            <w:tcW w:type="dxa" w:w="2340"/>
          </w:tcPr>
          <w:p>
            <w:r/>
            <w:r>
              <w:rPr>
                <w:rFonts w:ascii="Times New Roman" w:hAnsi="Times New Roman"/>
                <w:sz w:val="20"/>
              </w:rPr>
              <w:t>Overall assessment</w:t>
            </w:r>
          </w:p>
        </w:tc>
        <w:tc>
          <w:tcPr>
            <w:tcW w:type="dxa" w:w="2340"/>
          </w:tcPr>
          <w:p>
            <w:r/>
            <w:r>
              <w:rPr>
                <w:rFonts w:ascii="Times New Roman" w:hAnsi="Times New Roman"/>
                <w:sz w:val="20"/>
              </w:rPr>
              <w:t>Standardized templates</w:t>
            </w:r>
          </w:p>
        </w:tc>
        <w:tc>
          <w:tcPr>
            <w:tcW w:type="dxa" w:w="2340"/>
          </w:tcPr>
          <w:p>
            <w:r/>
            <w:r>
              <w:rPr>
                <w:rFonts w:ascii="Times New Roman" w:hAnsi="Times New Roman"/>
                <w:sz w:val="20"/>
              </w:rPr>
              <w:t>Tailored to information sufficiency classification</w:t>
            </w:r>
          </w:p>
        </w:tc>
      </w:tr>
    </w:tbl>
    <w:p>
      <w:pPr>
        <w:pStyle w:val="Heading2"/>
      </w:pPr>
      <w:r>
        <w:rPr>
          <w:color w:val="000000"/>
        </w:rPr>
        <w:t>Results</w:t>
      </w:r>
    </w:p>
    <w:p>
      <w:pPr>
        <w:pStyle w:val="Heading3"/>
      </w:pPr>
      <w:r>
        <w:rPr>
          <w:color w:val="000000"/>
        </w:rPr>
        <w:t>Study-level data and risk-profile shift</w:t>
      </w:r>
    </w:p>
    <w:p>
      <w:r>
        <w:rPr>
          <w:rFonts w:ascii="Times New Roman" w:hAnsi="Times New Roman"/>
          <w:b w:val="0"/>
          <w:i w:val="0"/>
          <w:sz w:val="24"/>
        </w:rPr>
        <w:t>Study-level data are summarized in Table 3 (magnesium in AMI) and Table 4 (statins in HF). In the magnesium case, control-group mortality fell from a pre-thrombolysis weighted mean of 8.9% to 7.2% in ISIS-4, an event rate ratio of 0.82 (Fig. 2). In the statins case, the RCT-to-observational event rate ratio was 0.53, indicating that the RCT populations had roughly half the mortality event rate of the observational cohorts.</w:t>
      </w:r>
    </w:p>
    <w:p>
      <w:r>
        <w:rPr>
          <w:rFonts w:ascii="Times New Roman" w:hAnsi="Times New Roman"/>
          <w:b/>
          <w:i w:val="0"/>
          <w:sz w:val="24"/>
        </w:rPr>
        <w:t>Table 3: Study-level data for magnesium in AMI</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20"/>
              </w:rPr>
              <w:t>Study</w:t>
            </w:r>
          </w:p>
        </w:tc>
        <w:tc>
          <w:tcPr>
            <w:tcW w:type="dxa" w:w="1170"/>
          </w:tcPr>
          <w:p>
            <w:r/>
            <w:r>
              <w:rPr>
                <w:rFonts w:ascii="Times New Roman" w:hAnsi="Times New Roman"/>
                <w:b/>
                <w:sz w:val="20"/>
              </w:rPr>
              <w:t>Year</w:t>
            </w:r>
          </w:p>
        </w:tc>
        <w:tc>
          <w:tcPr>
            <w:tcW w:type="dxa" w:w="1170"/>
          </w:tcPr>
          <w:p>
            <w:r/>
            <w:r>
              <w:rPr>
                <w:rFonts w:ascii="Times New Roman" w:hAnsi="Times New Roman"/>
                <w:b/>
                <w:sz w:val="20"/>
              </w:rPr>
              <w:t>Era</w:t>
            </w:r>
          </w:p>
        </w:tc>
        <w:tc>
          <w:tcPr>
            <w:tcW w:type="dxa" w:w="1170"/>
          </w:tcPr>
          <w:p>
            <w:r/>
            <w:r>
              <w:rPr>
                <w:rFonts w:ascii="Times New Roman" w:hAnsi="Times New Roman"/>
                <w:b/>
                <w:sz w:val="20"/>
              </w:rPr>
              <w:t>Events (Mg)</w:t>
            </w:r>
          </w:p>
        </w:tc>
        <w:tc>
          <w:tcPr>
            <w:tcW w:type="dxa" w:w="1170"/>
          </w:tcPr>
          <w:p>
            <w:r/>
            <w:r>
              <w:rPr>
                <w:rFonts w:ascii="Times New Roman" w:hAnsi="Times New Roman"/>
                <w:b/>
                <w:sz w:val="20"/>
              </w:rPr>
              <w:t>N (Mg)</w:t>
            </w:r>
          </w:p>
        </w:tc>
        <w:tc>
          <w:tcPr>
            <w:tcW w:type="dxa" w:w="1170"/>
          </w:tcPr>
          <w:p>
            <w:r/>
            <w:r>
              <w:rPr>
                <w:rFonts w:ascii="Times New Roman" w:hAnsi="Times New Roman"/>
                <w:b/>
                <w:sz w:val="20"/>
              </w:rPr>
              <w:t>Events (Ctrl)</w:t>
            </w:r>
          </w:p>
        </w:tc>
        <w:tc>
          <w:tcPr>
            <w:tcW w:type="dxa" w:w="1170"/>
          </w:tcPr>
          <w:p>
            <w:r/>
            <w:r>
              <w:rPr>
                <w:rFonts w:ascii="Times New Roman" w:hAnsi="Times New Roman"/>
                <w:b/>
                <w:sz w:val="20"/>
              </w:rPr>
              <w:t>N (Ctrl)</w:t>
            </w:r>
          </w:p>
        </w:tc>
        <w:tc>
          <w:tcPr>
            <w:tcW w:type="dxa" w:w="1170"/>
          </w:tcPr>
          <w:p>
            <w:r/>
            <w:r>
              <w:rPr>
                <w:rFonts w:ascii="Times New Roman" w:hAnsi="Times New Roman"/>
                <w:b/>
                <w:sz w:val="20"/>
              </w:rPr>
              <w:t>Control rate</w:t>
            </w:r>
          </w:p>
        </w:tc>
      </w:tr>
      <w:tr>
        <w:tc>
          <w:tcPr>
            <w:tcW w:type="dxa" w:w="1170"/>
          </w:tcPr>
          <w:p>
            <w:r/>
            <w:r>
              <w:rPr>
                <w:rFonts w:ascii="Times New Roman" w:hAnsi="Times New Roman"/>
                <w:sz w:val="20"/>
              </w:rPr>
              <w:t>Morton 1984</w:t>
            </w:r>
          </w:p>
        </w:tc>
        <w:tc>
          <w:tcPr>
            <w:tcW w:type="dxa" w:w="1170"/>
          </w:tcPr>
          <w:p>
            <w:r/>
            <w:r>
              <w:rPr>
                <w:rFonts w:ascii="Times New Roman" w:hAnsi="Times New Roman"/>
                <w:sz w:val="20"/>
              </w:rPr>
              <w:t>1984</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40</w:t>
            </w:r>
          </w:p>
        </w:tc>
        <w:tc>
          <w:tcPr>
            <w:tcW w:type="dxa" w:w="1170"/>
          </w:tcPr>
          <w:p>
            <w:r/>
            <w:r>
              <w:rPr>
                <w:rFonts w:ascii="Times New Roman" w:hAnsi="Times New Roman"/>
                <w:sz w:val="20"/>
              </w:rPr>
              <w:t>2</w:t>
            </w:r>
          </w:p>
        </w:tc>
        <w:tc>
          <w:tcPr>
            <w:tcW w:type="dxa" w:w="1170"/>
          </w:tcPr>
          <w:p>
            <w:r/>
            <w:r>
              <w:rPr>
                <w:rFonts w:ascii="Times New Roman" w:hAnsi="Times New Roman"/>
                <w:sz w:val="20"/>
              </w:rPr>
              <w:t>36</w:t>
            </w:r>
          </w:p>
        </w:tc>
        <w:tc>
          <w:tcPr>
            <w:tcW w:type="dxa" w:w="1170"/>
          </w:tcPr>
          <w:p>
            <w:r/>
            <w:r>
              <w:rPr>
                <w:rFonts w:ascii="Times New Roman" w:hAnsi="Times New Roman"/>
                <w:sz w:val="20"/>
              </w:rPr>
              <w:t>5.6%</w:t>
            </w:r>
          </w:p>
        </w:tc>
      </w:tr>
      <w:tr>
        <w:tc>
          <w:tcPr>
            <w:tcW w:type="dxa" w:w="1170"/>
          </w:tcPr>
          <w:p>
            <w:r/>
            <w:r>
              <w:rPr>
                <w:rFonts w:ascii="Times New Roman" w:hAnsi="Times New Roman"/>
                <w:sz w:val="20"/>
              </w:rPr>
              <w:t>Rasmussen 1986</w:t>
            </w:r>
          </w:p>
        </w:tc>
        <w:tc>
          <w:tcPr>
            <w:tcW w:type="dxa" w:w="1170"/>
          </w:tcPr>
          <w:p>
            <w:r/>
            <w:r>
              <w:rPr>
                <w:rFonts w:ascii="Times New Roman" w:hAnsi="Times New Roman"/>
                <w:sz w:val="20"/>
              </w:rPr>
              <w:t>1986</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56</w:t>
            </w:r>
          </w:p>
        </w:tc>
        <w:tc>
          <w:tcPr>
            <w:tcW w:type="dxa" w:w="1170"/>
          </w:tcPr>
          <w:p>
            <w:r/>
            <w:r>
              <w:rPr>
                <w:rFonts w:ascii="Times New Roman" w:hAnsi="Times New Roman"/>
                <w:sz w:val="20"/>
              </w:rPr>
              <w:t>9</w:t>
            </w:r>
          </w:p>
        </w:tc>
        <w:tc>
          <w:tcPr>
            <w:tcW w:type="dxa" w:w="1170"/>
          </w:tcPr>
          <w:p>
            <w:r/>
            <w:r>
              <w:rPr>
                <w:rFonts w:ascii="Times New Roman" w:hAnsi="Times New Roman"/>
                <w:sz w:val="20"/>
              </w:rPr>
              <w:t>79</w:t>
            </w:r>
          </w:p>
        </w:tc>
        <w:tc>
          <w:tcPr>
            <w:tcW w:type="dxa" w:w="1170"/>
          </w:tcPr>
          <w:p>
            <w:r/>
            <w:r>
              <w:rPr>
                <w:rFonts w:ascii="Times New Roman" w:hAnsi="Times New Roman"/>
                <w:sz w:val="20"/>
              </w:rPr>
              <w:t>11.4%</w:t>
            </w:r>
          </w:p>
        </w:tc>
      </w:tr>
      <w:tr>
        <w:tc>
          <w:tcPr>
            <w:tcW w:type="dxa" w:w="1170"/>
          </w:tcPr>
          <w:p>
            <w:r/>
            <w:r>
              <w:rPr>
                <w:rFonts w:ascii="Times New Roman" w:hAnsi="Times New Roman"/>
                <w:sz w:val="20"/>
              </w:rPr>
              <w:t>Smith 1986</w:t>
            </w:r>
          </w:p>
        </w:tc>
        <w:tc>
          <w:tcPr>
            <w:tcW w:type="dxa" w:w="1170"/>
          </w:tcPr>
          <w:p>
            <w:r/>
            <w:r>
              <w:rPr>
                <w:rFonts w:ascii="Times New Roman" w:hAnsi="Times New Roman"/>
                <w:sz w:val="20"/>
              </w:rPr>
              <w:t>1986</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2</w:t>
            </w:r>
          </w:p>
        </w:tc>
        <w:tc>
          <w:tcPr>
            <w:tcW w:type="dxa" w:w="1170"/>
          </w:tcPr>
          <w:p>
            <w:r/>
            <w:r>
              <w:rPr>
                <w:rFonts w:ascii="Times New Roman" w:hAnsi="Times New Roman"/>
                <w:sz w:val="20"/>
              </w:rPr>
              <w:t>200</w:t>
            </w:r>
          </w:p>
        </w:tc>
        <w:tc>
          <w:tcPr>
            <w:tcW w:type="dxa" w:w="1170"/>
          </w:tcPr>
          <w:p>
            <w:r/>
            <w:r>
              <w:rPr>
                <w:rFonts w:ascii="Times New Roman" w:hAnsi="Times New Roman"/>
                <w:sz w:val="20"/>
              </w:rPr>
              <w:t>7</w:t>
            </w:r>
          </w:p>
        </w:tc>
        <w:tc>
          <w:tcPr>
            <w:tcW w:type="dxa" w:w="1170"/>
          </w:tcPr>
          <w:p>
            <w:r/>
            <w:r>
              <w:rPr>
                <w:rFonts w:ascii="Times New Roman" w:hAnsi="Times New Roman"/>
                <w:sz w:val="20"/>
              </w:rPr>
              <w:t>200</w:t>
            </w:r>
          </w:p>
        </w:tc>
        <w:tc>
          <w:tcPr>
            <w:tcW w:type="dxa" w:w="1170"/>
          </w:tcPr>
          <w:p>
            <w:r/>
            <w:r>
              <w:rPr>
                <w:rFonts w:ascii="Times New Roman" w:hAnsi="Times New Roman"/>
                <w:sz w:val="20"/>
              </w:rPr>
              <w:t>3.5%</w:t>
            </w:r>
          </w:p>
        </w:tc>
      </w:tr>
      <w:tr>
        <w:tc>
          <w:tcPr>
            <w:tcW w:type="dxa" w:w="1170"/>
          </w:tcPr>
          <w:p>
            <w:r/>
            <w:r>
              <w:rPr>
                <w:rFonts w:ascii="Times New Roman" w:hAnsi="Times New Roman"/>
                <w:sz w:val="20"/>
              </w:rPr>
              <w:t>Abraham 1987</w:t>
            </w:r>
          </w:p>
        </w:tc>
        <w:tc>
          <w:tcPr>
            <w:tcW w:type="dxa" w:w="1170"/>
          </w:tcPr>
          <w:p>
            <w:r/>
            <w:r>
              <w:rPr>
                <w:rFonts w:ascii="Times New Roman" w:hAnsi="Times New Roman"/>
                <w:sz w:val="20"/>
              </w:rPr>
              <w:t>1987</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48</w:t>
            </w:r>
          </w:p>
        </w:tc>
        <w:tc>
          <w:tcPr>
            <w:tcW w:type="dxa" w:w="1170"/>
          </w:tcPr>
          <w:p>
            <w:r/>
            <w:r>
              <w:rPr>
                <w:rFonts w:ascii="Times New Roman" w:hAnsi="Times New Roman"/>
                <w:sz w:val="20"/>
              </w:rPr>
              <w:t>1</w:t>
            </w:r>
          </w:p>
        </w:tc>
        <w:tc>
          <w:tcPr>
            <w:tcW w:type="dxa" w:w="1170"/>
          </w:tcPr>
          <w:p>
            <w:r/>
            <w:r>
              <w:rPr>
                <w:rFonts w:ascii="Times New Roman" w:hAnsi="Times New Roman"/>
                <w:sz w:val="20"/>
              </w:rPr>
              <w:t>46</w:t>
            </w:r>
          </w:p>
        </w:tc>
        <w:tc>
          <w:tcPr>
            <w:tcW w:type="dxa" w:w="1170"/>
          </w:tcPr>
          <w:p>
            <w:r/>
            <w:r>
              <w:rPr>
                <w:rFonts w:ascii="Times New Roman" w:hAnsi="Times New Roman"/>
                <w:sz w:val="20"/>
              </w:rPr>
              <w:t>2.2%</w:t>
            </w:r>
          </w:p>
        </w:tc>
      </w:tr>
      <w:tr>
        <w:tc>
          <w:tcPr>
            <w:tcW w:type="dxa" w:w="1170"/>
          </w:tcPr>
          <w:p>
            <w:r/>
            <w:r>
              <w:rPr>
                <w:rFonts w:ascii="Times New Roman" w:hAnsi="Times New Roman"/>
                <w:sz w:val="20"/>
              </w:rPr>
              <w:t>Ceremuzynski 1989</w:t>
            </w:r>
          </w:p>
        </w:tc>
        <w:tc>
          <w:tcPr>
            <w:tcW w:type="dxa" w:w="1170"/>
          </w:tcPr>
          <w:p>
            <w:r/>
            <w:r>
              <w:rPr>
                <w:rFonts w:ascii="Times New Roman" w:hAnsi="Times New Roman"/>
                <w:sz w:val="20"/>
              </w:rPr>
              <w:t>1989</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25</w:t>
            </w:r>
          </w:p>
        </w:tc>
        <w:tc>
          <w:tcPr>
            <w:tcW w:type="dxa" w:w="1170"/>
          </w:tcPr>
          <w:p>
            <w:r/>
            <w:r>
              <w:rPr>
                <w:rFonts w:ascii="Times New Roman" w:hAnsi="Times New Roman"/>
                <w:sz w:val="20"/>
              </w:rPr>
              <w:t>3</w:t>
            </w:r>
          </w:p>
        </w:tc>
        <w:tc>
          <w:tcPr>
            <w:tcW w:type="dxa" w:w="1170"/>
          </w:tcPr>
          <w:p>
            <w:r/>
            <w:r>
              <w:rPr>
                <w:rFonts w:ascii="Times New Roman" w:hAnsi="Times New Roman"/>
                <w:sz w:val="20"/>
              </w:rPr>
              <w:t>23</w:t>
            </w:r>
          </w:p>
        </w:tc>
        <w:tc>
          <w:tcPr>
            <w:tcW w:type="dxa" w:w="1170"/>
          </w:tcPr>
          <w:p>
            <w:r/>
            <w:r>
              <w:rPr>
                <w:rFonts w:ascii="Times New Roman" w:hAnsi="Times New Roman"/>
                <w:sz w:val="20"/>
              </w:rPr>
              <w:t>13.0%</w:t>
            </w:r>
          </w:p>
        </w:tc>
      </w:tr>
      <w:tr>
        <w:tc>
          <w:tcPr>
            <w:tcW w:type="dxa" w:w="1170"/>
          </w:tcPr>
          <w:p>
            <w:r/>
            <w:r>
              <w:rPr>
                <w:rFonts w:ascii="Times New Roman" w:hAnsi="Times New Roman"/>
                <w:sz w:val="20"/>
              </w:rPr>
              <w:t>Shechter 1990</w:t>
            </w:r>
          </w:p>
        </w:tc>
        <w:tc>
          <w:tcPr>
            <w:tcW w:type="dxa" w:w="1170"/>
          </w:tcPr>
          <w:p>
            <w:r/>
            <w:r>
              <w:rPr>
                <w:rFonts w:ascii="Times New Roman" w:hAnsi="Times New Roman"/>
                <w:sz w:val="20"/>
              </w:rPr>
              <w:t>1990</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50</w:t>
            </w:r>
          </w:p>
        </w:tc>
        <w:tc>
          <w:tcPr>
            <w:tcW w:type="dxa" w:w="1170"/>
          </w:tcPr>
          <w:p>
            <w:r/>
            <w:r>
              <w:rPr>
                <w:rFonts w:ascii="Times New Roman" w:hAnsi="Times New Roman"/>
                <w:sz w:val="20"/>
              </w:rPr>
              <w:t>9</w:t>
            </w:r>
          </w:p>
        </w:tc>
        <w:tc>
          <w:tcPr>
            <w:tcW w:type="dxa" w:w="1170"/>
          </w:tcPr>
          <w:p>
            <w:r/>
            <w:r>
              <w:rPr>
                <w:rFonts w:ascii="Times New Roman" w:hAnsi="Times New Roman"/>
                <w:sz w:val="20"/>
              </w:rPr>
              <w:t>53</w:t>
            </w:r>
          </w:p>
        </w:tc>
        <w:tc>
          <w:tcPr>
            <w:tcW w:type="dxa" w:w="1170"/>
          </w:tcPr>
          <w:p>
            <w:r/>
            <w:r>
              <w:rPr>
                <w:rFonts w:ascii="Times New Roman" w:hAnsi="Times New Roman"/>
                <w:sz w:val="20"/>
              </w:rPr>
              <w:t>17.0%</w:t>
            </w:r>
          </w:p>
        </w:tc>
      </w:tr>
      <w:tr>
        <w:tc>
          <w:tcPr>
            <w:tcW w:type="dxa" w:w="1170"/>
          </w:tcPr>
          <w:p>
            <w:r/>
            <w:r>
              <w:rPr>
                <w:rFonts w:ascii="Times New Roman" w:hAnsi="Times New Roman"/>
                <w:sz w:val="20"/>
              </w:rPr>
              <w:t>Singh 1990</w:t>
            </w:r>
          </w:p>
        </w:tc>
        <w:tc>
          <w:tcPr>
            <w:tcW w:type="dxa" w:w="1170"/>
          </w:tcPr>
          <w:p>
            <w:r/>
            <w:r>
              <w:rPr>
                <w:rFonts w:ascii="Times New Roman" w:hAnsi="Times New Roman"/>
                <w:sz w:val="20"/>
              </w:rPr>
              <w:t>1990</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6</w:t>
            </w:r>
          </w:p>
        </w:tc>
        <w:tc>
          <w:tcPr>
            <w:tcW w:type="dxa" w:w="1170"/>
          </w:tcPr>
          <w:p>
            <w:r/>
            <w:r>
              <w:rPr>
                <w:rFonts w:ascii="Times New Roman" w:hAnsi="Times New Roman"/>
                <w:sz w:val="20"/>
              </w:rPr>
              <w:t>39</w:t>
            </w:r>
          </w:p>
        </w:tc>
        <w:tc>
          <w:tcPr>
            <w:tcW w:type="dxa" w:w="1170"/>
          </w:tcPr>
          <w:p>
            <w:r/>
            <w:r>
              <w:rPr>
                <w:rFonts w:ascii="Times New Roman" w:hAnsi="Times New Roman"/>
                <w:sz w:val="20"/>
              </w:rPr>
              <w:t>11</w:t>
            </w:r>
          </w:p>
        </w:tc>
        <w:tc>
          <w:tcPr>
            <w:tcW w:type="dxa" w:w="1170"/>
          </w:tcPr>
          <w:p>
            <w:r/>
            <w:r>
              <w:rPr>
                <w:rFonts w:ascii="Times New Roman" w:hAnsi="Times New Roman"/>
                <w:sz w:val="20"/>
              </w:rPr>
              <w:t>37</w:t>
            </w:r>
          </w:p>
        </w:tc>
        <w:tc>
          <w:tcPr>
            <w:tcW w:type="dxa" w:w="1170"/>
          </w:tcPr>
          <w:p>
            <w:r/>
            <w:r>
              <w:rPr>
                <w:rFonts w:ascii="Times New Roman" w:hAnsi="Times New Roman"/>
                <w:sz w:val="20"/>
              </w:rPr>
              <w:t>29.7%</w:t>
            </w:r>
          </w:p>
        </w:tc>
      </w:tr>
      <w:tr>
        <w:tc>
          <w:tcPr>
            <w:tcW w:type="dxa" w:w="1170"/>
          </w:tcPr>
          <w:p>
            <w:r/>
            <w:r>
              <w:rPr>
                <w:rFonts w:ascii="Times New Roman" w:hAnsi="Times New Roman"/>
                <w:sz w:val="20"/>
              </w:rPr>
              <w:t>Feldstedt 1991</w:t>
            </w:r>
          </w:p>
        </w:tc>
        <w:tc>
          <w:tcPr>
            <w:tcW w:type="dxa" w:w="1170"/>
          </w:tcPr>
          <w:p>
            <w:r/>
            <w:r>
              <w:rPr>
                <w:rFonts w:ascii="Times New Roman" w:hAnsi="Times New Roman"/>
                <w:sz w:val="20"/>
              </w:rPr>
              <w:t>1991</w:t>
            </w:r>
          </w:p>
        </w:tc>
        <w:tc>
          <w:tcPr>
            <w:tcW w:type="dxa" w:w="1170"/>
          </w:tcPr>
          <w:p>
            <w:r/>
            <w:r>
              <w:rPr>
                <w:rFonts w:ascii="Times New Roman" w:hAnsi="Times New Roman"/>
                <w:sz w:val="20"/>
              </w:rPr>
              <w:t>Transition</w:t>
            </w:r>
          </w:p>
        </w:tc>
        <w:tc>
          <w:tcPr>
            <w:tcW w:type="dxa" w:w="1170"/>
          </w:tcPr>
          <w:p>
            <w:r/>
            <w:r>
              <w:rPr>
                <w:rFonts w:ascii="Times New Roman" w:hAnsi="Times New Roman"/>
                <w:sz w:val="20"/>
              </w:rPr>
              <w:t>4</w:t>
            </w:r>
          </w:p>
        </w:tc>
        <w:tc>
          <w:tcPr>
            <w:tcW w:type="dxa" w:w="1170"/>
          </w:tcPr>
          <w:p>
            <w:r/>
            <w:r>
              <w:rPr>
                <w:rFonts w:ascii="Times New Roman" w:hAnsi="Times New Roman"/>
                <w:sz w:val="20"/>
              </w:rPr>
              <w:t>100</w:t>
            </w:r>
          </w:p>
        </w:tc>
        <w:tc>
          <w:tcPr>
            <w:tcW w:type="dxa" w:w="1170"/>
          </w:tcPr>
          <w:p>
            <w:r/>
            <w:r>
              <w:rPr>
                <w:rFonts w:ascii="Times New Roman" w:hAnsi="Times New Roman"/>
                <w:sz w:val="20"/>
              </w:rPr>
              <w:t>7</w:t>
            </w:r>
          </w:p>
        </w:tc>
        <w:tc>
          <w:tcPr>
            <w:tcW w:type="dxa" w:w="1170"/>
          </w:tcPr>
          <w:p>
            <w:r/>
            <w:r>
              <w:rPr>
                <w:rFonts w:ascii="Times New Roman" w:hAnsi="Times New Roman"/>
                <w:sz w:val="20"/>
              </w:rPr>
              <w:t>100</w:t>
            </w:r>
          </w:p>
        </w:tc>
        <w:tc>
          <w:tcPr>
            <w:tcW w:type="dxa" w:w="1170"/>
          </w:tcPr>
          <w:p>
            <w:r/>
            <w:r>
              <w:rPr>
                <w:rFonts w:ascii="Times New Roman" w:hAnsi="Times New Roman"/>
                <w:sz w:val="20"/>
              </w:rPr>
              <w:t>7.0%</w:t>
            </w:r>
          </w:p>
        </w:tc>
      </w:tr>
      <w:tr>
        <w:tc>
          <w:tcPr>
            <w:tcW w:type="dxa" w:w="1170"/>
          </w:tcPr>
          <w:p>
            <w:r/>
            <w:r>
              <w:rPr>
                <w:rFonts w:ascii="Times New Roman" w:hAnsi="Times New Roman"/>
                <w:sz w:val="20"/>
              </w:rPr>
              <w:t>Schechter 1991</w:t>
            </w:r>
          </w:p>
        </w:tc>
        <w:tc>
          <w:tcPr>
            <w:tcW w:type="dxa" w:w="1170"/>
          </w:tcPr>
          <w:p>
            <w:r/>
            <w:r>
              <w:rPr>
                <w:rFonts w:ascii="Times New Roman" w:hAnsi="Times New Roman"/>
                <w:sz w:val="20"/>
              </w:rPr>
              <w:t>1991</w:t>
            </w:r>
          </w:p>
        </w:tc>
        <w:tc>
          <w:tcPr>
            <w:tcW w:type="dxa" w:w="1170"/>
          </w:tcPr>
          <w:p>
            <w:r/>
            <w:r>
              <w:rPr>
                <w:rFonts w:ascii="Times New Roman" w:hAnsi="Times New Roman"/>
                <w:sz w:val="20"/>
              </w:rPr>
              <w:t>Transition</w:t>
            </w:r>
          </w:p>
        </w:tc>
        <w:tc>
          <w:tcPr>
            <w:tcW w:type="dxa" w:w="1170"/>
          </w:tcPr>
          <w:p>
            <w:r/>
            <w:r>
              <w:rPr>
                <w:rFonts w:ascii="Times New Roman" w:hAnsi="Times New Roman"/>
                <w:sz w:val="20"/>
              </w:rPr>
              <w:t>1</w:t>
            </w:r>
          </w:p>
        </w:tc>
        <w:tc>
          <w:tcPr>
            <w:tcW w:type="dxa" w:w="1170"/>
          </w:tcPr>
          <w:p>
            <w:r/>
            <w:r>
              <w:rPr>
                <w:rFonts w:ascii="Times New Roman" w:hAnsi="Times New Roman"/>
                <w:sz w:val="20"/>
              </w:rPr>
              <w:t>59</w:t>
            </w:r>
          </w:p>
        </w:tc>
        <w:tc>
          <w:tcPr>
            <w:tcW w:type="dxa" w:w="1170"/>
          </w:tcPr>
          <w:p>
            <w:r/>
            <w:r>
              <w:rPr>
                <w:rFonts w:ascii="Times New Roman" w:hAnsi="Times New Roman"/>
                <w:sz w:val="20"/>
              </w:rPr>
              <w:t>2</w:t>
            </w:r>
          </w:p>
        </w:tc>
        <w:tc>
          <w:tcPr>
            <w:tcW w:type="dxa" w:w="1170"/>
          </w:tcPr>
          <w:p>
            <w:r/>
            <w:r>
              <w:rPr>
                <w:rFonts w:ascii="Times New Roman" w:hAnsi="Times New Roman"/>
                <w:sz w:val="20"/>
              </w:rPr>
              <w:t>57</w:t>
            </w:r>
          </w:p>
        </w:tc>
        <w:tc>
          <w:tcPr>
            <w:tcW w:type="dxa" w:w="1170"/>
          </w:tcPr>
          <w:p>
            <w:r/>
            <w:r>
              <w:rPr>
                <w:rFonts w:ascii="Times New Roman" w:hAnsi="Times New Roman"/>
                <w:sz w:val="20"/>
              </w:rPr>
              <w:t>3.5%</w:t>
            </w:r>
          </w:p>
        </w:tc>
      </w:tr>
      <w:tr>
        <w:tc>
          <w:tcPr>
            <w:tcW w:type="dxa" w:w="1170"/>
          </w:tcPr>
          <w:p>
            <w:r/>
            <w:r>
              <w:rPr>
                <w:rFonts w:ascii="Times New Roman" w:hAnsi="Times New Roman"/>
                <w:sz w:val="20"/>
              </w:rPr>
              <w:t>LIMIT-2 1992</w:t>
            </w:r>
          </w:p>
        </w:tc>
        <w:tc>
          <w:tcPr>
            <w:tcW w:type="dxa" w:w="1170"/>
          </w:tcPr>
          <w:p>
            <w:r/>
            <w:r>
              <w:rPr>
                <w:rFonts w:ascii="Times New Roman" w:hAnsi="Times New Roman"/>
                <w:sz w:val="20"/>
              </w:rPr>
              <w:t>1992</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90</w:t>
            </w:r>
          </w:p>
        </w:tc>
        <w:tc>
          <w:tcPr>
            <w:tcW w:type="dxa" w:w="1170"/>
          </w:tcPr>
          <w:p>
            <w:r/>
            <w:r>
              <w:rPr>
                <w:rFonts w:ascii="Times New Roman" w:hAnsi="Times New Roman"/>
                <w:sz w:val="20"/>
              </w:rPr>
              <w:t>1,159</w:t>
            </w:r>
          </w:p>
        </w:tc>
        <w:tc>
          <w:tcPr>
            <w:tcW w:type="dxa" w:w="1170"/>
          </w:tcPr>
          <w:p>
            <w:r/>
            <w:r>
              <w:rPr>
                <w:rFonts w:ascii="Times New Roman" w:hAnsi="Times New Roman"/>
                <w:sz w:val="20"/>
              </w:rPr>
              <w:t>118</w:t>
            </w:r>
          </w:p>
        </w:tc>
        <w:tc>
          <w:tcPr>
            <w:tcW w:type="dxa" w:w="1170"/>
          </w:tcPr>
          <w:p>
            <w:r/>
            <w:r>
              <w:rPr>
                <w:rFonts w:ascii="Times New Roman" w:hAnsi="Times New Roman"/>
                <w:sz w:val="20"/>
              </w:rPr>
              <w:t>1,157</w:t>
            </w:r>
          </w:p>
        </w:tc>
        <w:tc>
          <w:tcPr>
            <w:tcW w:type="dxa" w:w="1170"/>
          </w:tcPr>
          <w:p>
            <w:r/>
            <w:r>
              <w:rPr>
                <w:rFonts w:ascii="Times New Roman" w:hAnsi="Times New Roman"/>
                <w:sz w:val="20"/>
              </w:rPr>
              <w:t>10.2%</w:t>
            </w:r>
          </w:p>
        </w:tc>
      </w:tr>
      <w:tr>
        <w:tc>
          <w:tcPr>
            <w:tcW w:type="dxa" w:w="1170"/>
          </w:tcPr>
          <w:p>
            <w:r/>
            <w:r>
              <w:rPr>
                <w:rFonts w:ascii="Times New Roman" w:hAnsi="Times New Roman"/>
                <w:sz w:val="20"/>
              </w:rPr>
              <w:t>Shechter 1995</w:t>
            </w:r>
          </w:p>
        </w:tc>
        <w:tc>
          <w:tcPr>
            <w:tcW w:type="dxa" w:w="1170"/>
          </w:tcPr>
          <w:p>
            <w:r/>
            <w:r>
              <w:rPr>
                <w:rFonts w:ascii="Times New Roman" w:hAnsi="Times New Roman"/>
                <w:sz w:val="20"/>
              </w:rPr>
              <w:t>1995</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4</w:t>
            </w:r>
          </w:p>
        </w:tc>
        <w:tc>
          <w:tcPr>
            <w:tcW w:type="dxa" w:w="1170"/>
          </w:tcPr>
          <w:p>
            <w:r/>
            <w:r>
              <w:rPr>
                <w:rFonts w:ascii="Times New Roman" w:hAnsi="Times New Roman"/>
                <w:sz w:val="20"/>
              </w:rPr>
              <w:t>107</w:t>
            </w:r>
          </w:p>
        </w:tc>
        <w:tc>
          <w:tcPr>
            <w:tcW w:type="dxa" w:w="1170"/>
          </w:tcPr>
          <w:p>
            <w:r/>
            <w:r>
              <w:rPr>
                <w:rFonts w:ascii="Times New Roman" w:hAnsi="Times New Roman"/>
                <w:sz w:val="20"/>
              </w:rPr>
              <w:t>17</w:t>
            </w:r>
          </w:p>
        </w:tc>
        <w:tc>
          <w:tcPr>
            <w:tcW w:type="dxa" w:w="1170"/>
          </w:tcPr>
          <w:p>
            <w:r/>
            <w:r>
              <w:rPr>
                <w:rFonts w:ascii="Times New Roman" w:hAnsi="Times New Roman"/>
                <w:sz w:val="20"/>
              </w:rPr>
              <w:t>108</w:t>
            </w:r>
          </w:p>
        </w:tc>
        <w:tc>
          <w:tcPr>
            <w:tcW w:type="dxa" w:w="1170"/>
          </w:tcPr>
          <w:p>
            <w:r/>
            <w:r>
              <w:rPr>
                <w:rFonts w:ascii="Times New Roman" w:hAnsi="Times New Roman"/>
                <w:sz w:val="20"/>
              </w:rPr>
              <w:t>15.7%</w:t>
            </w:r>
          </w:p>
        </w:tc>
      </w:tr>
      <w:tr>
        <w:tc>
          <w:tcPr>
            <w:tcW w:type="dxa" w:w="1170"/>
          </w:tcPr>
          <w:p>
            <w:r/>
            <w:r>
              <w:rPr>
                <w:rFonts w:ascii="Times New Roman" w:hAnsi="Times New Roman"/>
                <w:sz w:val="20"/>
              </w:rPr>
              <w:t>ISIS-4 1995</w:t>
            </w:r>
          </w:p>
        </w:tc>
        <w:tc>
          <w:tcPr>
            <w:tcW w:type="dxa" w:w="1170"/>
          </w:tcPr>
          <w:p>
            <w:r/>
            <w:r>
              <w:rPr>
                <w:rFonts w:ascii="Times New Roman" w:hAnsi="Times New Roman"/>
                <w:sz w:val="20"/>
              </w:rPr>
              <w:t>1995</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2216</w:t>
            </w:r>
          </w:p>
        </w:tc>
        <w:tc>
          <w:tcPr>
            <w:tcW w:type="dxa" w:w="1170"/>
          </w:tcPr>
          <w:p>
            <w:r/>
            <w:r>
              <w:rPr>
                <w:rFonts w:ascii="Times New Roman" w:hAnsi="Times New Roman"/>
                <w:sz w:val="20"/>
              </w:rPr>
              <w:t>29,011</w:t>
            </w:r>
          </w:p>
        </w:tc>
        <w:tc>
          <w:tcPr>
            <w:tcW w:type="dxa" w:w="1170"/>
          </w:tcPr>
          <w:p>
            <w:r/>
            <w:r>
              <w:rPr>
                <w:rFonts w:ascii="Times New Roman" w:hAnsi="Times New Roman"/>
                <w:sz w:val="20"/>
              </w:rPr>
              <w:t>2103</w:t>
            </w:r>
          </w:p>
        </w:tc>
        <w:tc>
          <w:tcPr>
            <w:tcW w:type="dxa" w:w="1170"/>
          </w:tcPr>
          <w:p>
            <w:r/>
            <w:r>
              <w:rPr>
                <w:rFonts w:ascii="Times New Roman" w:hAnsi="Times New Roman"/>
                <w:sz w:val="20"/>
              </w:rPr>
              <w:t>29,039</w:t>
            </w:r>
          </w:p>
        </w:tc>
        <w:tc>
          <w:tcPr>
            <w:tcW w:type="dxa" w:w="1170"/>
          </w:tcPr>
          <w:p>
            <w:r/>
            <w:r>
              <w:rPr>
                <w:rFonts w:ascii="Times New Roman" w:hAnsi="Times New Roman"/>
                <w:sz w:val="20"/>
              </w:rPr>
              <w:t>7.2%</w:t>
            </w:r>
          </w:p>
        </w:tc>
      </w:tr>
    </w:tbl>
    <w:p>
      <w:r>
        <w:rPr>
          <w:rFonts w:ascii="Times New Roman" w:hAnsi="Times New Roman"/>
          <w:b/>
          <w:i w:val="0"/>
          <w:sz w:val="24"/>
        </w:rPr>
        <w:t>Table 4: Study-level data for statins in heart failure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Study</w:t>
            </w:r>
          </w:p>
        </w:tc>
        <w:tc>
          <w:tcPr>
            <w:tcW w:type="dxa" w:w="1872"/>
          </w:tcPr>
          <w:p>
            <w:r/>
            <w:r>
              <w:rPr>
                <w:rFonts w:ascii="Times New Roman" w:hAnsi="Times New Roman"/>
                <w:b/>
                <w:sz w:val="20"/>
              </w:rPr>
              <w:t>Design</w:t>
            </w:r>
          </w:p>
        </w:tc>
        <w:tc>
          <w:tcPr>
            <w:tcW w:type="dxa" w:w="1872"/>
          </w:tcPr>
          <w:p>
            <w:r/>
            <w:r>
              <w:rPr>
                <w:rFonts w:ascii="Times New Roman" w:hAnsi="Times New Roman"/>
                <w:b/>
                <w:sz w:val="20"/>
              </w:rPr>
              <w:t>HR (95% CI)</w:t>
            </w:r>
          </w:p>
        </w:tc>
        <w:tc>
          <w:tcPr>
            <w:tcW w:type="dxa" w:w="1872"/>
          </w:tcPr>
          <w:p>
            <w:r/>
            <w:r>
              <w:rPr>
                <w:rFonts w:ascii="Times New Roman" w:hAnsi="Times New Roman"/>
                <w:b/>
                <w:sz w:val="20"/>
              </w:rPr>
              <w:t>N</w:t>
            </w:r>
          </w:p>
        </w:tc>
        <w:tc>
          <w:tcPr>
            <w:tcW w:type="dxa" w:w="1872"/>
          </w:tcPr>
          <w:p>
            <w:r/>
            <w:r>
              <w:rPr>
                <w:rFonts w:ascii="Times New Roman" w:hAnsi="Times New Roman"/>
                <w:b/>
                <w:sz w:val="20"/>
              </w:rPr>
              <w:t>Events</w:t>
            </w:r>
          </w:p>
        </w:tc>
      </w:tr>
      <w:tr>
        <w:tc>
          <w:tcPr>
            <w:tcW w:type="dxa" w:w="1872"/>
          </w:tcPr>
          <w:p>
            <w:r/>
            <w:r>
              <w:rPr>
                <w:rFonts w:ascii="Times New Roman" w:hAnsi="Times New Roman"/>
                <w:sz w:val="20"/>
              </w:rPr>
              <w:t>Mozaffarian 2004</w:t>
            </w:r>
          </w:p>
        </w:tc>
        <w:tc>
          <w:tcPr>
            <w:tcW w:type="dxa" w:w="1872"/>
          </w:tcPr>
          <w:p>
            <w:r/>
            <w:r>
              <w:rPr>
                <w:rFonts w:ascii="Times New Roman" w:hAnsi="Times New Roman"/>
                <w:sz w:val="20"/>
              </w:rPr>
              <w:t>OBS</w:t>
            </w:r>
          </w:p>
        </w:tc>
        <w:tc>
          <w:tcPr>
            <w:tcW w:type="dxa" w:w="1872"/>
          </w:tcPr>
          <w:p>
            <w:r/>
            <w:r>
              <w:rPr>
                <w:rFonts w:ascii="Times New Roman" w:hAnsi="Times New Roman"/>
                <w:sz w:val="20"/>
              </w:rPr>
              <w:t>0.62 (0.49–0.78)</w:t>
            </w:r>
          </w:p>
        </w:tc>
        <w:tc>
          <w:tcPr>
            <w:tcW w:type="dxa" w:w="1872"/>
          </w:tcPr>
          <w:p>
            <w:r/>
            <w:r>
              <w:rPr>
                <w:rFonts w:ascii="Times New Roman" w:hAnsi="Times New Roman"/>
                <w:sz w:val="20"/>
              </w:rPr>
              <w:t>1,153</w:t>
            </w:r>
          </w:p>
        </w:tc>
        <w:tc>
          <w:tcPr>
            <w:tcW w:type="dxa" w:w="1872"/>
          </w:tcPr>
          <w:p>
            <w:r/>
            <w:r>
              <w:rPr>
                <w:rFonts w:ascii="Times New Roman" w:hAnsi="Times New Roman"/>
                <w:sz w:val="20"/>
              </w:rPr>
              <w:t>356</w:t>
            </w:r>
          </w:p>
        </w:tc>
      </w:tr>
      <w:tr>
        <w:tc>
          <w:tcPr>
            <w:tcW w:type="dxa" w:w="1872"/>
          </w:tcPr>
          <w:p>
            <w:r/>
            <w:r>
              <w:rPr>
                <w:rFonts w:ascii="Times New Roman" w:hAnsi="Times New Roman"/>
                <w:sz w:val="20"/>
              </w:rPr>
              <w:t>Horwich 2004</w:t>
            </w:r>
          </w:p>
        </w:tc>
        <w:tc>
          <w:tcPr>
            <w:tcW w:type="dxa" w:w="1872"/>
          </w:tcPr>
          <w:p>
            <w:r/>
            <w:r>
              <w:rPr>
                <w:rFonts w:ascii="Times New Roman" w:hAnsi="Times New Roman"/>
                <w:sz w:val="20"/>
              </w:rPr>
              <w:t>OBS</w:t>
            </w:r>
          </w:p>
        </w:tc>
        <w:tc>
          <w:tcPr>
            <w:tcW w:type="dxa" w:w="1872"/>
          </w:tcPr>
          <w:p>
            <w:r/>
            <w:r>
              <w:rPr>
                <w:rFonts w:ascii="Times New Roman" w:hAnsi="Times New Roman"/>
                <w:sz w:val="20"/>
              </w:rPr>
              <w:t>0.59 (0.44–0.78)</w:t>
            </w:r>
          </w:p>
        </w:tc>
        <w:tc>
          <w:tcPr>
            <w:tcW w:type="dxa" w:w="1872"/>
          </w:tcPr>
          <w:p>
            <w:r/>
            <w:r>
              <w:rPr>
                <w:rFonts w:ascii="Times New Roman" w:hAnsi="Times New Roman"/>
                <w:sz w:val="20"/>
              </w:rPr>
              <w:t>551</w:t>
            </w:r>
          </w:p>
        </w:tc>
        <w:tc>
          <w:tcPr>
            <w:tcW w:type="dxa" w:w="1872"/>
          </w:tcPr>
          <w:p>
            <w:r/>
            <w:r>
              <w:rPr>
                <w:rFonts w:ascii="Times New Roman" w:hAnsi="Times New Roman"/>
                <w:sz w:val="20"/>
              </w:rPr>
              <w:t>189</w:t>
            </w:r>
          </w:p>
        </w:tc>
      </w:tr>
      <w:tr>
        <w:tc>
          <w:tcPr>
            <w:tcW w:type="dxa" w:w="1872"/>
          </w:tcPr>
          <w:p>
            <w:r/>
            <w:r>
              <w:rPr>
                <w:rFonts w:ascii="Times New Roman" w:hAnsi="Times New Roman"/>
                <w:sz w:val="20"/>
              </w:rPr>
              <w:t>Go 2006</w:t>
            </w:r>
          </w:p>
        </w:tc>
        <w:tc>
          <w:tcPr>
            <w:tcW w:type="dxa" w:w="1872"/>
          </w:tcPr>
          <w:p>
            <w:r/>
            <w:r>
              <w:rPr>
                <w:rFonts w:ascii="Times New Roman" w:hAnsi="Times New Roman"/>
                <w:sz w:val="20"/>
              </w:rPr>
              <w:t>OBS</w:t>
            </w:r>
          </w:p>
        </w:tc>
        <w:tc>
          <w:tcPr>
            <w:tcW w:type="dxa" w:w="1872"/>
          </w:tcPr>
          <w:p>
            <w:r/>
            <w:r>
              <w:rPr>
                <w:rFonts w:ascii="Times New Roman" w:hAnsi="Times New Roman"/>
                <w:sz w:val="20"/>
              </w:rPr>
              <w:t>0.69 (0.63–0.75)</w:t>
            </w:r>
          </w:p>
        </w:tc>
        <w:tc>
          <w:tcPr>
            <w:tcW w:type="dxa" w:w="1872"/>
          </w:tcPr>
          <w:p>
            <w:r/>
            <w:r>
              <w:rPr>
                <w:rFonts w:ascii="Times New Roman" w:hAnsi="Times New Roman"/>
                <w:sz w:val="20"/>
              </w:rPr>
              <w:t>24,598</w:t>
            </w:r>
          </w:p>
        </w:tc>
        <w:tc>
          <w:tcPr>
            <w:tcW w:type="dxa" w:w="1872"/>
          </w:tcPr>
          <w:p>
            <w:r/>
            <w:r>
              <w:rPr>
                <w:rFonts w:ascii="Times New Roman" w:hAnsi="Times New Roman"/>
                <w:sz w:val="20"/>
              </w:rPr>
              <w:t>5,765</w:t>
            </w:r>
          </w:p>
        </w:tc>
      </w:tr>
      <w:tr>
        <w:tc>
          <w:tcPr>
            <w:tcW w:type="dxa" w:w="1872"/>
          </w:tcPr>
          <w:p>
            <w:r/>
            <w:r>
              <w:rPr>
                <w:rFonts w:ascii="Times New Roman" w:hAnsi="Times New Roman"/>
                <w:sz w:val="20"/>
              </w:rPr>
              <w:t>Foody 2006</w:t>
            </w:r>
          </w:p>
        </w:tc>
        <w:tc>
          <w:tcPr>
            <w:tcW w:type="dxa" w:w="1872"/>
          </w:tcPr>
          <w:p>
            <w:r/>
            <w:r>
              <w:rPr>
                <w:rFonts w:ascii="Times New Roman" w:hAnsi="Times New Roman"/>
                <w:sz w:val="20"/>
              </w:rPr>
              <w:t>OBS</w:t>
            </w:r>
          </w:p>
        </w:tc>
        <w:tc>
          <w:tcPr>
            <w:tcW w:type="dxa" w:w="1872"/>
          </w:tcPr>
          <w:p>
            <w:r/>
            <w:r>
              <w:rPr>
                <w:rFonts w:ascii="Times New Roman" w:hAnsi="Times New Roman"/>
                <w:sz w:val="20"/>
              </w:rPr>
              <w:t>0.82 (0.79–0.85)</w:t>
            </w:r>
          </w:p>
        </w:tc>
        <w:tc>
          <w:tcPr>
            <w:tcW w:type="dxa" w:w="1872"/>
          </w:tcPr>
          <w:p>
            <w:r/>
            <w:r>
              <w:rPr>
                <w:rFonts w:ascii="Times New Roman" w:hAnsi="Times New Roman"/>
                <w:sz w:val="20"/>
              </w:rPr>
              <w:t>54,960</w:t>
            </w:r>
          </w:p>
        </w:tc>
        <w:tc>
          <w:tcPr>
            <w:tcW w:type="dxa" w:w="1872"/>
          </w:tcPr>
          <w:p>
            <w:r/>
            <w:r>
              <w:rPr>
                <w:rFonts w:ascii="Times New Roman" w:hAnsi="Times New Roman"/>
                <w:sz w:val="20"/>
              </w:rPr>
              <w:t>16,573</w:t>
            </w:r>
          </w:p>
        </w:tc>
      </w:tr>
      <w:tr>
        <w:tc>
          <w:tcPr>
            <w:tcW w:type="dxa" w:w="1872"/>
          </w:tcPr>
          <w:p>
            <w:r/>
            <w:r>
              <w:rPr>
                <w:rFonts w:ascii="Times New Roman" w:hAnsi="Times New Roman"/>
                <w:sz w:val="20"/>
              </w:rPr>
              <w:t>Anker 2006</w:t>
            </w:r>
          </w:p>
        </w:tc>
        <w:tc>
          <w:tcPr>
            <w:tcW w:type="dxa" w:w="1872"/>
          </w:tcPr>
          <w:p>
            <w:r/>
            <w:r>
              <w:rPr>
                <w:rFonts w:ascii="Times New Roman" w:hAnsi="Times New Roman"/>
                <w:sz w:val="20"/>
              </w:rPr>
              <w:t>OBS</w:t>
            </w:r>
          </w:p>
        </w:tc>
        <w:tc>
          <w:tcPr>
            <w:tcW w:type="dxa" w:w="1872"/>
          </w:tcPr>
          <w:p>
            <w:r/>
            <w:r>
              <w:rPr>
                <w:rFonts w:ascii="Times New Roman" w:hAnsi="Times New Roman"/>
                <w:sz w:val="20"/>
              </w:rPr>
              <w:t>0.75 (0.66–0.85)</w:t>
            </w:r>
          </w:p>
        </w:tc>
        <w:tc>
          <w:tcPr>
            <w:tcW w:type="dxa" w:w="1872"/>
          </w:tcPr>
          <w:p>
            <w:r/>
            <w:r>
              <w:rPr>
                <w:rFonts w:ascii="Times New Roman" w:hAnsi="Times New Roman"/>
                <w:sz w:val="20"/>
              </w:rPr>
              <w:t>10,510</w:t>
            </w:r>
          </w:p>
        </w:tc>
        <w:tc>
          <w:tcPr>
            <w:tcW w:type="dxa" w:w="1872"/>
          </w:tcPr>
          <w:p>
            <w:r/>
            <w:r>
              <w:rPr>
                <w:rFonts w:ascii="Times New Roman" w:hAnsi="Times New Roman"/>
                <w:sz w:val="20"/>
              </w:rPr>
              <w:t>2,890</w:t>
            </w:r>
          </w:p>
        </w:tc>
      </w:tr>
      <w:tr>
        <w:tc>
          <w:tcPr>
            <w:tcW w:type="dxa" w:w="1872"/>
          </w:tcPr>
          <w:p>
            <w:r/>
            <w:r>
              <w:rPr>
                <w:rFonts w:ascii="Times New Roman" w:hAnsi="Times New Roman"/>
                <w:sz w:val="20"/>
              </w:rPr>
              <w:t>CORONA 2007</w:t>
            </w:r>
          </w:p>
        </w:tc>
        <w:tc>
          <w:tcPr>
            <w:tcW w:type="dxa" w:w="1872"/>
          </w:tcPr>
          <w:p>
            <w:r/>
            <w:r>
              <w:rPr>
                <w:rFonts w:ascii="Times New Roman" w:hAnsi="Times New Roman"/>
                <w:sz w:val="20"/>
              </w:rPr>
              <w:t>RCT</w:t>
            </w:r>
          </w:p>
        </w:tc>
        <w:tc>
          <w:tcPr>
            <w:tcW w:type="dxa" w:w="1872"/>
          </w:tcPr>
          <w:p>
            <w:r/>
            <w:r>
              <w:rPr>
                <w:rFonts w:ascii="Times New Roman" w:hAnsi="Times New Roman"/>
                <w:sz w:val="20"/>
              </w:rPr>
              <w:t>0.95 (0.86–1.05)</w:t>
            </w:r>
          </w:p>
        </w:tc>
        <w:tc>
          <w:tcPr>
            <w:tcW w:type="dxa" w:w="1872"/>
          </w:tcPr>
          <w:p>
            <w:r/>
            <w:r>
              <w:rPr>
                <w:rFonts w:ascii="Times New Roman" w:hAnsi="Times New Roman"/>
                <w:sz w:val="20"/>
              </w:rPr>
              <w:t>5,011</w:t>
            </w:r>
          </w:p>
        </w:tc>
        <w:tc>
          <w:tcPr>
            <w:tcW w:type="dxa" w:w="1872"/>
          </w:tcPr>
          <w:p>
            <w:r/>
            <w:r>
              <w:rPr>
                <w:rFonts w:ascii="Times New Roman" w:hAnsi="Times New Roman"/>
                <w:sz w:val="20"/>
              </w:rPr>
              <w:t>728</w:t>
            </w:r>
          </w:p>
        </w:tc>
      </w:tr>
      <w:tr>
        <w:tc>
          <w:tcPr>
            <w:tcW w:type="dxa" w:w="1872"/>
          </w:tcPr>
          <w:p>
            <w:r/>
            <w:r>
              <w:rPr>
                <w:rFonts w:ascii="Times New Roman" w:hAnsi="Times New Roman"/>
                <w:sz w:val="20"/>
              </w:rPr>
              <w:t>GISSI-HF 2008</w:t>
            </w:r>
          </w:p>
        </w:tc>
        <w:tc>
          <w:tcPr>
            <w:tcW w:type="dxa" w:w="1872"/>
          </w:tcPr>
          <w:p>
            <w:r/>
            <w:r>
              <w:rPr>
                <w:rFonts w:ascii="Times New Roman" w:hAnsi="Times New Roman"/>
                <w:sz w:val="20"/>
              </w:rPr>
              <w:t>RCT</w:t>
            </w:r>
          </w:p>
        </w:tc>
        <w:tc>
          <w:tcPr>
            <w:tcW w:type="dxa" w:w="1872"/>
          </w:tcPr>
          <w:p>
            <w:r/>
            <w:r>
              <w:rPr>
                <w:rFonts w:ascii="Times New Roman" w:hAnsi="Times New Roman"/>
                <w:sz w:val="20"/>
              </w:rPr>
              <w:t>1.00 (0.90–1.12)</w:t>
            </w:r>
          </w:p>
        </w:tc>
        <w:tc>
          <w:tcPr>
            <w:tcW w:type="dxa" w:w="1872"/>
          </w:tcPr>
          <w:p>
            <w:r/>
            <w:r>
              <w:rPr>
                <w:rFonts w:ascii="Times New Roman" w:hAnsi="Times New Roman"/>
                <w:sz w:val="20"/>
              </w:rPr>
              <w:t>4,574</w:t>
            </w:r>
          </w:p>
        </w:tc>
        <w:tc>
          <w:tcPr>
            <w:tcW w:type="dxa" w:w="1872"/>
          </w:tcPr>
          <w:p>
            <w:r/>
            <w:r>
              <w:rPr>
                <w:rFonts w:ascii="Times New Roman" w:hAnsi="Times New Roman"/>
                <w:sz w:val="20"/>
              </w:rPr>
              <w:t>657</w:t>
            </w:r>
          </w:p>
        </w:tc>
      </w:tr>
    </w:tbl>
    <w:p>
      <w:pPr>
        <w:jc w:val="center"/>
      </w:pPr>
      <w:r>
        <w:drawing>
          <wp:inline xmlns:a="http://schemas.openxmlformats.org/drawingml/2006/main" xmlns:pic="http://schemas.openxmlformats.org/drawingml/2006/picture">
            <wp:extent cx="5029200" cy="2063370"/>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0"/>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pStyle w:val="Heading3"/>
      </w:pPr>
      <w:r>
        <w:rPr>
          <w:color w:val="000000"/>
        </w:rPr>
        <w:t>Counterfactual power simulation</w:t>
      </w:r>
    </w:p>
    <w:p>
      <w:r>
        <w:rPr>
          <w:rFonts w:ascii="Times New Roman" w:hAnsi="Times New Roman"/>
          <w:b w:val="0"/>
          <w:i w:val="0"/>
          <w:sz w:val="24"/>
        </w:rPr>
        <w:t>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99.1% under the RCT event rate; for a more modest effect (HR = 0.85), power fell from 84.6% to 58.3%—a 26 percentage-point reduction attributable to event dilution (Fig. 3B).</w:t>
      </w:r>
    </w:p>
    <w:p>
      <w:pPr>
        <w:jc w:val="center"/>
      </w:pPr>
      <w:r>
        <w:drawing>
          <wp:inline xmlns:a="http://schemas.openxmlformats.org/drawingml/2006/main" xmlns:pic="http://schemas.openxmlformats.org/drawingml/2006/picture">
            <wp:extent cx="5029200" cy="2097128"/>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1"/>
                    <a:stretch>
                      <a:fillRect/>
                    </a:stretch>
                  </pic:blipFill>
                  <pic:spPr>
                    <a:xfrm>
                      <a:off x="0" y="0"/>
                      <a:ext cx="5029200" cy="2097128"/>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pStyle w:val="Heading3"/>
      </w:pPr>
      <w:r>
        <w:rPr>
          <w:color w:val="000000"/>
        </w:rPr>
        <w:t>Frequentist meta-analysis and trial sequential analysis</w:t>
      </w:r>
    </w:p>
    <w:p>
      <w:r>
        <w:rPr>
          <w:rFonts w:ascii="Times New Roman" w:hAnsi="Times New Roman"/>
          <w:b w:val="0"/>
          <w:i w:val="0"/>
          <w:sz w:val="24"/>
        </w:rPr>
        <w:t>Random-effects meta-analysis of the 11 pre-ISIS-4 magnesium trials yielded OR = 0.54 (95% CI: 0.40-0.75) with I² = 6%. Adding ISIS-4 changed the pooled estimate to OR = 0.56 (0.38-0.83), but heterogeneity increased to I² = 62% (Fig. 4). TSA under a fixed-effect accumulation produced a final cumulative Z of 0.80, below the conventional boundary of 1.96; under a random-effects accumulation the final Z was -2.90, crossing the O'Brien-Fleming boundary of 0.27 (Fig. 5). This divergence reflects era-dependent treatment-effect heterogeneity driven by the ISIS-4 result.</w:t>
      </w:r>
    </w:p>
    <w:p>
      <w:pPr>
        <w:jc w:val="center"/>
      </w:pPr>
      <w:r>
        <w:drawing>
          <wp:inline xmlns:a="http://schemas.openxmlformats.org/drawingml/2006/main" xmlns:pic="http://schemas.openxmlformats.org/drawingml/2006/picture">
            <wp:extent cx="5029200" cy="5289798"/>
            <wp:docPr id="4" name="Picture 4"/>
            <wp:cNvGraphicFramePr>
              <a:graphicFrameLocks noChangeAspect="1"/>
            </wp:cNvGraphicFramePr>
            <a:graphic>
              <a:graphicData uri="http://schemas.openxmlformats.org/drawingml/2006/picture">
                <pic:pic>
                  <pic:nvPicPr>
                    <pic:cNvPr id="0" name="fig4_forest_plot_mg.png"/>
                    <pic:cNvPicPr/>
                  </pic:nvPicPr>
                  <pic:blipFill>
                    <a:blip r:embed="rId12"/>
                    <a:stretch>
                      <a:fillRect/>
                    </a:stretch>
                  </pic:blipFill>
                  <pic:spPr>
                    <a:xfrm>
                      <a:off x="0" y="0"/>
                      <a:ext cx="5029200" cy="5289798"/>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 for magnesium in AMI. Individual study odds ratios are shown with 95% confidence intervals, color-coded by era. Pooled estimates include frequentist random-effects (pre-ISIS-4 and all trials) and Bayesian integrated estimates at selected discounting levels ($\alpha$ = 0.3, 0.5, 1.0).</w:t>
      </w:r>
    </w:p>
    <w:p>
      <w:pPr>
        <w:jc w:val="center"/>
      </w:pPr>
      <w:r>
        <w:drawing>
          <wp:inline xmlns:a="http://schemas.openxmlformats.org/drawingml/2006/main" xmlns:pic="http://schemas.openxmlformats.org/drawingml/2006/picture">
            <wp:extent cx="5029200" cy="3008295"/>
            <wp:docPr id="5" name="Picture 5"/>
            <wp:cNvGraphicFramePr>
              <a:graphicFrameLocks noChangeAspect="1"/>
            </wp:cNvGraphicFramePr>
            <a:graphic>
              <a:graphicData uri="http://schemas.openxmlformats.org/drawingml/2006/picture">
                <pic:pic>
                  <pic:nvPicPr>
                    <pic:cNvPr id="0" name="fig5_tsa_magnesium.png"/>
                    <pic:cNvPicPr/>
                  </pic:nvPicPr>
                  <pic:blipFill>
                    <a:blip r:embed="rId13"/>
                    <a:stretch>
                      <a:fillRect/>
                    </a:stretch>
                  </pic:blipFill>
                  <pic:spPr>
                    <a:xfrm>
                      <a:off x="0" y="0"/>
                      <a:ext cx="5029200" cy="3008295"/>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Trial sequential analysis for magnesium in AMI. The cumulative Z-curve is plotted against cumulative events. Vertical dashed line indicates the optimal information size (OIS). Curved lines show O'Brien-Fleming monitoring boundaries.</w:t>
      </w:r>
    </w:p>
    <w:p>
      <w:r>
        <w:rPr>
          <w:rFonts w:ascii="Times New Roman" w:hAnsi="Times New Roman"/>
          <w:b w:val="0"/>
          <w:i w:val="0"/>
          <w:sz w:val="24"/>
        </w:rPr>
        <w:t>For statins, observational studies showed a pooled HR of 0.72 (95% CI: 0.64-0.80) with I² = 82%, whereas the two RCTs (CORONA and GISSI-HF) yielded HR = 0.97 (0.90-1.05) with I² = 0% (Fig. 6).</w:t>
      </w:r>
    </w:p>
    <w:p>
      <w:pPr>
        <w:jc w:val="center"/>
      </w:pPr>
      <w:r>
        <w:drawing>
          <wp:inline xmlns:a="http://schemas.openxmlformats.org/drawingml/2006/main" xmlns:pic="http://schemas.openxmlformats.org/drawingml/2006/picture">
            <wp:extent cx="5029200" cy="4392292"/>
            <wp:docPr id="6" name="Picture 6"/>
            <wp:cNvGraphicFramePr>
              <a:graphicFrameLocks noChangeAspect="1"/>
            </wp:cNvGraphicFramePr>
            <a:graphic>
              <a:graphicData uri="http://schemas.openxmlformats.org/drawingml/2006/picture">
                <pic:pic>
                  <pic:nvPicPr>
                    <pic:cNvPr id="0" name="fig6_forest_statins.png"/>
                    <pic:cNvPicPr/>
                  </pic:nvPicPr>
                  <pic:blipFill>
                    <a:blip r:embed="rId14"/>
                    <a:stretch>
                      <a:fillRect/>
                    </a:stretch>
                  </pic:blipFill>
                  <pic:spPr>
                    <a:xfrm>
                      <a:off x="0" y="0"/>
                      <a:ext cx="5029200" cy="4392292"/>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Forest plot for statins in heart failure. Individual study hazard ratios are shown with 95% confidence intervals, grouped by design. Pooled estimates include design-specific frequentist pooling and KOTHA-integrated estimates at selected discounting levels ($\alpha$ = 0.1, 0.3, 0.5).</w:t>
      </w:r>
    </w:p>
    <w:p>
      <w:pPr>
        <w:pStyle w:val="Heading3"/>
      </w:pPr>
      <w:r>
        <w:rPr>
          <w:color w:val="000000"/>
        </w:rPr>
        <w:t>Bayesian integration</w:t>
      </w:r>
    </w:p>
    <w:p>
      <w:r>
        <w:rPr>
          <w:rFonts w:ascii="Times New Roman" w:hAnsi="Times New Roman"/>
          <w:b w:val="0"/>
          <w:i w:val="0"/>
          <w:sz w:val="24"/>
        </w:rPr>
        <w:t>Bayesian integration (Table 5) showed that for magnesium, with α = 0 (ISIS-4 only), the posterior median OR was 1.11 with 30.6% probability of benefit. With α = 0.3 the posterior shifted to OR = 0.73 (95% CrI: 0.28-2.09), with 77% probability of benefit (Fig. 7A). For statins (Table 6), with α = 0 (RCTs only) the posterior probability of benefit was 60.9% and the probability of a clinically meaningful benefit (HR &lt; 0.90) was 17.7%. With α = 0.3 these probabilities rose to 83.7% and 65.7%, respectively (Fig. 7B). Even with moderate borrowing from observational evidence, conclusions remained uncertain.</w:t>
      </w:r>
    </w:p>
    <w:p>
      <w:r>
        <w:rPr>
          <w:rFonts w:ascii="Times New Roman" w:hAnsi="Times New Roman"/>
          <w:b/>
          <w:i w:val="0"/>
          <w:sz w:val="24"/>
        </w:rPr>
        <w:t>Table 5: Bayesian integration --- Magnesium in AMI (power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$\alpha$</w:t>
            </w:r>
          </w:p>
        </w:tc>
        <w:tc>
          <w:tcPr>
            <w:tcW w:type="dxa" w:w="1872"/>
          </w:tcPr>
          <w:p>
            <w:r/>
            <w:r>
              <w:rPr>
                <w:rFonts w:ascii="Times New Roman" w:hAnsi="Times New Roman"/>
                <w:b/>
                <w:sz w:val="20"/>
              </w:rPr>
              <w:t>OR (95% CrI)</w:t>
            </w:r>
          </w:p>
        </w:tc>
        <w:tc>
          <w:tcPr>
            <w:tcW w:type="dxa" w:w="1872"/>
          </w:tcPr>
          <w:p>
            <w:r/>
            <w:r>
              <w:rPr>
                <w:rFonts w:ascii="Times New Roman" w:hAnsi="Times New Roman"/>
                <w:b/>
                <w:sz w:val="20"/>
              </w:rPr>
              <w:t>P(OR &lt; 1)</w:t>
            </w:r>
          </w:p>
        </w:tc>
        <w:tc>
          <w:tcPr>
            <w:tcW w:type="dxa" w:w="1872"/>
          </w:tcPr>
          <w:p>
            <w:r/>
            <w:r>
              <w:rPr>
                <w:rFonts w:ascii="Times New Roman" w:hAnsi="Times New Roman"/>
                <w:b/>
                <w:sz w:val="20"/>
              </w:rPr>
              <w:t>P(OR &lt; 0.90)</w:t>
            </w:r>
          </w:p>
        </w:tc>
        <w:tc>
          <w:tcPr>
            <w:tcW w:type="dxa" w:w="1872"/>
          </w:tcPr>
          <w:p>
            <w:r/>
            <w:r>
              <w:rPr>
                <w:rFonts w:ascii="Times New Roman" w:hAnsi="Times New Roman"/>
                <w:b/>
                <w:sz w:val="20"/>
              </w:rPr>
              <w:t>P(OR &lt; 0.80)</w:t>
            </w:r>
          </w:p>
        </w:tc>
      </w:tr>
      <w:tr>
        <w:tc>
          <w:tcPr>
            <w:tcW w:type="dxa" w:w="1872"/>
          </w:tcPr>
          <w:p>
            <w:r/>
            <w:r>
              <w:rPr>
                <w:rFonts w:ascii="Times New Roman" w:hAnsi="Times New Roman"/>
                <w:sz w:val="20"/>
              </w:rPr>
              <w:t>0.0 (ISIS-4 only)</w:t>
            </w:r>
          </w:p>
        </w:tc>
        <w:tc>
          <w:tcPr>
            <w:tcW w:type="dxa" w:w="1872"/>
          </w:tcPr>
          <w:p>
            <w:r/>
            <w:r>
              <w:rPr>
                <w:rFonts w:ascii="Times New Roman" w:hAnsi="Times New Roman"/>
                <w:sz w:val="20"/>
              </w:rPr>
              <w:t>1.11 (0.43–7.03)</w:t>
            </w:r>
          </w:p>
        </w:tc>
        <w:tc>
          <w:tcPr>
            <w:tcW w:type="dxa" w:w="1872"/>
          </w:tcPr>
          <w:p>
            <w:r/>
            <w:r>
              <w:rPr>
                <w:rFonts w:ascii="Times New Roman" w:hAnsi="Times New Roman"/>
                <w:sz w:val="20"/>
              </w:rPr>
              <w:t>30.6%</w:t>
            </w:r>
          </w:p>
        </w:tc>
        <w:tc>
          <w:tcPr>
            <w:tcW w:type="dxa" w:w="1872"/>
          </w:tcPr>
          <w:p>
            <w:r/>
            <w:r>
              <w:rPr>
                <w:rFonts w:ascii="Times New Roman" w:hAnsi="Times New Roman"/>
                <w:sz w:val="20"/>
              </w:rPr>
              <w:t>22.2%</w:t>
            </w:r>
          </w:p>
        </w:tc>
        <w:tc>
          <w:tcPr>
            <w:tcW w:type="dxa" w:w="1872"/>
          </w:tcPr>
          <w:p>
            <w:r/>
            <w:r>
              <w:rPr>
                <w:rFonts w:ascii="Times New Roman" w:hAnsi="Times New Roman"/>
                <w:sz w:val="20"/>
              </w:rPr>
              <w:t>16.2%</w:t>
            </w:r>
          </w:p>
        </w:tc>
      </w:tr>
      <w:tr>
        <w:tc>
          <w:tcPr>
            <w:tcW w:type="dxa" w:w="1872"/>
          </w:tcPr>
          <w:p>
            <w:r/>
            <w:r>
              <w:rPr>
                <w:rFonts w:ascii="Times New Roman" w:hAnsi="Times New Roman"/>
                <w:sz w:val="20"/>
              </w:rPr>
              <w:t>0.1</w:t>
            </w:r>
          </w:p>
        </w:tc>
        <w:tc>
          <w:tcPr>
            <w:tcW w:type="dxa" w:w="1872"/>
          </w:tcPr>
          <w:p>
            <w:r/>
            <w:r>
              <w:rPr>
                <w:rFonts w:ascii="Times New Roman" w:hAnsi="Times New Roman"/>
                <w:sz w:val="20"/>
              </w:rPr>
              <w:t>1.00 (0.31–3.51)</w:t>
            </w:r>
          </w:p>
        </w:tc>
        <w:tc>
          <w:tcPr>
            <w:tcW w:type="dxa" w:w="1872"/>
          </w:tcPr>
          <w:p>
            <w:r/>
            <w:r>
              <w:rPr>
                <w:rFonts w:ascii="Times New Roman" w:hAnsi="Times New Roman"/>
                <w:sz w:val="20"/>
              </w:rPr>
              <w:t>50.7%</w:t>
            </w:r>
          </w:p>
        </w:tc>
        <w:tc>
          <w:tcPr>
            <w:tcW w:type="dxa" w:w="1872"/>
          </w:tcPr>
          <w:p>
            <w:r/>
            <w:r>
              <w:rPr>
                <w:rFonts w:ascii="Times New Roman" w:hAnsi="Times New Roman"/>
                <w:sz w:val="20"/>
              </w:rPr>
              <w:t>36.6%</w:t>
            </w:r>
          </w:p>
        </w:tc>
        <w:tc>
          <w:tcPr>
            <w:tcW w:type="dxa" w:w="1872"/>
          </w:tcPr>
          <w:p>
            <w:r/>
            <w:r>
              <w:rPr>
                <w:rFonts w:ascii="Times New Roman" w:hAnsi="Times New Roman"/>
                <w:sz w:val="20"/>
              </w:rPr>
              <w:t>27.9%</w:t>
            </w:r>
          </w:p>
        </w:tc>
      </w:tr>
      <w:tr>
        <w:tc>
          <w:tcPr>
            <w:tcW w:type="dxa" w:w="1872"/>
          </w:tcPr>
          <w:p>
            <w:r/>
            <w:r>
              <w:rPr>
                <w:rFonts w:ascii="Times New Roman" w:hAnsi="Times New Roman"/>
                <w:sz w:val="20"/>
              </w:rPr>
              <w:t>0.2</w:t>
            </w:r>
          </w:p>
        </w:tc>
        <w:tc>
          <w:tcPr>
            <w:tcW w:type="dxa" w:w="1872"/>
          </w:tcPr>
          <w:p>
            <w:r/>
            <w:r>
              <w:rPr>
                <w:rFonts w:ascii="Times New Roman" w:hAnsi="Times New Roman"/>
                <w:sz w:val="20"/>
              </w:rPr>
              <w:t>0.85 (0.31–2.50)</w:t>
            </w:r>
          </w:p>
        </w:tc>
        <w:tc>
          <w:tcPr>
            <w:tcW w:type="dxa" w:w="1872"/>
          </w:tcPr>
          <w:p>
            <w:r/>
            <w:r>
              <w:rPr>
                <w:rFonts w:ascii="Times New Roman" w:hAnsi="Times New Roman"/>
                <w:sz w:val="20"/>
              </w:rPr>
              <w:t>66.5%</w:t>
            </w:r>
          </w:p>
        </w:tc>
        <w:tc>
          <w:tcPr>
            <w:tcW w:type="dxa" w:w="1872"/>
          </w:tcPr>
          <w:p>
            <w:r/>
            <w:r>
              <w:rPr>
                <w:rFonts w:ascii="Times New Roman" w:hAnsi="Times New Roman"/>
                <w:sz w:val="20"/>
              </w:rPr>
              <w:t>55.0%</w:t>
            </w:r>
          </w:p>
        </w:tc>
        <w:tc>
          <w:tcPr>
            <w:tcW w:type="dxa" w:w="1872"/>
          </w:tcPr>
          <w:p>
            <w:r/>
            <w:r>
              <w:rPr>
                <w:rFonts w:ascii="Times New Roman" w:hAnsi="Times New Roman"/>
                <w:sz w:val="20"/>
              </w:rPr>
              <w:t>45.8%</w:t>
            </w:r>
          </w:p>
        </w:tc>
      </w:tr>
      <w:tr>
        <w:tc>
          <w:tcPr>
            <w:tcW w:type="dxa" w:w="1872"/>
          </w:tcPr>
          <w:p>
            <w:r/>
            <w:r>
              <w:rPr>
                <w:rFonts w:ascii="Times New Roman" w:hAnsi="Times New Roman"/>
                <w:sz w:val="20"/>
              </w:rPr>
              <w:t>0.3</w:t>
            </w:r>
          </w:p>
        </w:tc>
        <w:tc>
          <w:tcPr>
            <w:tcW w:type="dxa" w:w="1872"/>
          </w:tcPr>
          <w:p>
            <w:r/>
            <w:r>
              <w:rPr>
                <w:rFonts w:ascii="Times New Roman" w:hAnsi="Times New Roman"/>
                <w:sz w:val="20"/>
              </w:rPr>
              <w:t>0.73 (0.28–2.09)</w:t>
            </w:r>
          </w:p>
        </w:tc>
        <w:tc>
          <w:tcPr>
            <w:tcW w:type="dxa" w:w="1872"/>
          </w:tcPr>
          <w:p>
            <w:r/>
            <w:r>
              <w:rPr>
                <w:rFonts w:ascii="Times New Roman" w:hAnsi="Times New Roman"/>
                <w:sz w:val="20"/>
              </w:rPr>
              <w:t>77.0%</w:t>
            </w:r>
          </w:p>
        </w:tc>
        <w:tc>
          <w:tcPr>
            <w:tcW w:type="dxa" w:w="1872"/>
          </w:tcPr>
          <w:p>
            <w:r/>
            <w:r>
              <w:rPr>
                <w:rFonts w:ascii="Times New Roman" w:hAnsi="Times New Roman"/>
                <w:sz w:val="20"/>
              </w:rPr>
              <w:t>66.3%</w:t>
            </w:r>
          </w:p>
        </w:tc>
        <w:tc>
          <w:tcPr>
            <w:tcW w:type="dxa" w:w="1872"/>
          </w:tcPr>
          <w:p>
            <w:r/>
            <w:r>
              <w:rPr>
                <w:rFonts w:ascii="Times New Roman" w:hAnsi="Times New Roman"/>
                <w:sz w:val="20"/>
              </w:rPr>
              <w:t>56.9%</w:t>
            </w:r>
          </w:p>
        </w:tc>
      </w:tr>
      <w:tr>
        <w:tc>
          <w:tcPr>
            <w:tcW w:type="dxa" w:w="1872"/>
          </w:tcPr>
          <w:p>
            <w:r/>
            <w:r>
              <w:rPr>
                <w:rFonts w:ascii="Times New Roman" w:hAnsi="Times New Roman"/>
                <w:sz w:val="20"/>
              </w:rPr>
              <w:t>0.5</w:t>
            </w:r>
          </w:p>
        </w:tc>
        <w:tc>
          <w:tcPr>
            <w:tcW w:type="dxa" w:w="1872"/>
          </w:tcPr>
          <w:p>
            <w:r/>
            <w:r>
              <w:rPr>
                <w:rFonts w:ascii="Times New Roman" w:hAnsi="Times New Roman"/>
                <w:sz w:val="20"/>
              </w:rPr>
              <w:t>0.61 (0.28–1.30)</w:t>
            </w:r>
          </w:p>
        </w:tc>
        <w:tc>
          <w:tcPr>
            <w:tcW w:type="dxa" w:w="1872"/>
          </w:tcPr>
          <w:p>
            <w:r/>
            <w:r>
              <w:rPr>
                <w:rFonts w:ascii="Times New Roman" w:hAnsi="Times New Roman"/>
                <w:sz w:val="20"/>
              </w:rPr>
              <w:t>92.6%</w:t>
            </w:r>
          </w:p>
        </w:tc>
        <w:tc>
          <w:tcPr>
            <w:tcW w:type="dxa" w:w="1872"/>
          </w:tcPr>
          <w:p>
            <w:r/>
            <w:r>
              <w:rPr>
                <w:rFonts w:ascii="Times New Roman" w:hAnsi="Times New Roman"/>
                <w:sz w:val="20"/>
              </w:rPr>
              <w:t>87.3%</w:t>
            </w:r>
          </w:p>
        </w:tc>
        <w:tc>
          <w:tcPr>
            <w:tcW w:type="dxa" w:w="1872"/>
          </w:tcPr>
          <w:p>
            <w:r/>
            <w:r>
              <w:rPr>
                <w:rFonts w:ascii="Times New Roman" w:hAnsi="Times New Roman"/>
                <w:sz w:val="20"/>
              </w:rPr>
              <w:t>77.1%</w:t>
            </w:r>
          </w:p>
        </w:tc>
      </w:tr>
      <w:tr>
        <w:tc>
          <w:tcPr>
            <w:tcW w:type="dxa" w:w="1872"/>
          </w:tcPr>
          <w:p>
            <w:r/>
            <w:r>
              <w:rPr>
                <w:rFonts w:ascii="Times New Roman" w:hAnsi="Times New Roman"/>
                <w:sz w:val="20"/>
              </w:rPr>
              <w:t>0.7</w:t>
            </w:r>
          </w:p>
        </w:tc>
        <w:tc>
          <w:tcPr>
            <w:tcW w:type="dxa" w:w="1872"/>
          </w:tcPr>
          <w:p>
            <w:r/>
            <w:r>
              <w:rPr>
                <w:rFonts w:ascii="Times New Roman" w:hAnsi="Times New Roman"/>
                <w:sz w:val="20"/>
              </w:rPr>
              <w:t>0.57 (0.29–1.05)</w:t>
            </w:r>
          </w:p>
        </w:tc>
        <w:tc>
          <w:tcPr>
            <w:tcW w:type="dxa" w:w="1872"/>
          </w:tcPr>
          <w:p>
            <w:r/>
            <w:r>
              <w:rPr>
                <w:rFonts w:ascii="Times New Roman" w:hAnsi="Times New Roman"/>
                <w:sz w:val="20"/>
              </w:rPr>
              <w:t>96.6%</w:t>
            </w:r>
          </w:p>
        </w:tc>
        <w:tc>
          <w:tcPr>
            <w:tcW w:type="dxa" w:w="1872"/>
          </w:tcPr>
          <w:p>
            <w:r/>
            <w:r>
              <w:rPr>
                <w:rFonts w:ascii="Times New Roman" w:hAnsi="Times New Roman"/>
                <w:sz w:val="20"/>
              </w:rPr>
              <w:t>94.1%</w:t>
            </w:r>
          </w:p>
        </w:tc>
        <w:tc>
          <w:tcPr>
            <w:tcW w:type="dxa" w:w="1872"/>
          </w:tcPr>
          <w:p>
            <w:r/>
            <w:r>
              <w:rPr>
                <w:rFonts w:ascii="Times New Roman" w:hAnsi="Times New Roman"/>
                <w:sz w:val="20"/>
              </w:rPr>
              <w:t>87.4%</w:t>
            </w:r>
          </w:p>
        </w:tc>
      </w:tr>
      <w:tr>
        <w:tc>
          <w:tcPr>
            <w:tcW w:type="dxa" w:w="1872"/>
          </w:tcPr>
          <w:p>
            <w:r/>
            <w:r>
              <w:rPr>
                <w:rFonts w:ascii="Times New Roman" w:hAnsi="Times New Roman"/>
                <w:sz w:val="20"/>
              </w:rPr>
              <w:t>1.0 (full weight)</w:t>
            </w:r>
          </w:p>
        </w:tc>
        <w:tc>
          <w:tcPr>
            <w:tcW w:type="dxa" w:w="1872"/>
          </w:tcPr>
          <w:p>
            <w:r/>
            <w:r>
              <w:rPr>
                <w:rFonts w:ascii="Times New Roman" w:hAnsi="Times New Roman"/>
                <w:sz w:val="20"/>
              </w:rPr>
              <w:t>0.54 (0.32–0.91)</w:t>
            </w:r>
          </w:p>
        </w:tc>
        <w:tc>
          <w:tcPr>
            <w:tcW w:type="dxa" w:w="1872"/>
          </w:tcPr>
          <w:p>
            <w:r/>
            <w:r>
              <w:rPr>
                <w:rFonts w:ascii="Times New Roman" w:hAnsi="Times New Roman"/>
                <w:sz w:val="20"/>
              </w:rPr>
              <w:t>98.7%</w:t>
            </w:r>
          </w:p>
        </w:tc>
        <w:tc>
          <w:tcPr>
            <w:tcW w:type="dxa" w:w="1872"/>
          </w:tcPr>
          <w:p>
            <w:r/>
            <w:r>
              <w:rPr>
                <w:rFonts w:ascii="Times New Roman" w:hAnsi="Times New Roman"/>
                <w:sz w:val="20"/>
              </w:rPr>
              <w:t>97.2%</w:t>
            </w:r>
          </w:p>
        </w:tc>
        <w:tc>
          <w:tcPr>
            <w:tcW w:type="dxa" w:w="1872"/>
          </w:tcPr>
          <w:p>
            <w:r/>
            <w:r>
              <w:rPr>
                <w:rFonts w:ascii="Times New Roman" w:hAnsi="Times New Roman"/>
                <w:sz w:val="20"/>
              </w:rPr>
              <w:t>93.5%</w:t>
            </w:r>
          </w:p>
        </w:tc>
      </w:tr>
    </w:tbl>
    <w:p>
      <w:r>
        <w:rPr>
          <w:rFonts w:ascii="Times New Roman" w:hAnsi="Times New Roman"/>
          <w:b/>
          <w:i w:val="0"/>
          <w:sz w:val="24"/>
        </w:rPr>
        <w:t>Table 6: Bayesian integration --- Statins in HF (power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$\alpha$</w:t>
            </w:r>
          </w:p>
        </w:tc>
        <w:tc>
          <w:tcPr>
            <w:tcW w:type="dxa" w:w="1872"/>
          </w:tcPr>
          <w:p>
            <w:r/>
            <w:r>
              <w:rPr>
                <w:rFonts w:ascii="Times New Roman" w:hAnsi="Times New Roman"/>
                <w:b/>
                <w:sz w:val="20"/>
              </w:rPr>
              <w:t>HR (95% CrI)</w:t>
            </w:r>
          </w:p>
        </w:tc>
        <w:tc>
          <w:tcPr>
            <w:tcW w:type="dxa" w:w="1872"/>
          </w:tcPr>
          <w:p>
            <w:r/>
            <w:r>
              <w:rPr>
                <w:rFonts w:ascii="Times New Roman" w:hAnsi="Times New Roman"/>
                <w:b/>
                <w:sz w:val="20"/>
              </w:rPr>
              <w:t>P(HR &lt; 1)</w:t>
            </w:r>
          </w:p>
        </w:tc>
        <w:tc>
          <w:tcPr>
            <w:tcW w:type="dxa" w:w="1872"/>
          </w:tcPr>
          <w:p>
            <w:r/>
            <w:r>
              <w:rPr>
                <w:rFonts w:ascii="Times New Roman" w:hAnsi="Times New Roman"/>
                <w:b/>
                <w:sz w:val="20"/>
              </w:rPr>
              <w:t>P(HR &lt; 0.90)</w:t>
            </w:r>
          </w:p>
        </w:tc>
        <w:tc>
          <w:tcPr>
            <w:tcW w:type="dxa" w:w="1872"/>
          </w:tcPr>
          <w:p>
            <w:r/>
            <w:r>
              <w:rPr>
                <w:rFonts w:ascii="Times New Roman" w:hAnsi="Times New Roman"/>
                <w:b/>
                <w:sz w:val="20"/>
              </w:rPr>
              <w:t>P(HR &lt; 0.80)</w:t>
            </w:r>
          </w:p>
        </w:tc>
      </w:tr>
      <w:tr>
        <w:tc>
          <w:tcPr>
            <w:tcW w:type="dxa" w:w="1872"/>
          </w:tcPr>
          <w:p>
            <w:r/>
            <w:r>
              <w:rPr>
                <w:rFonts w:ascii="Times New Roman" w:hAnsi="Times New Roman"/>
                <w:sz w:val="20"/>
              </w:rPr>
              <w:t>0.0 (RCTs only)</w:t>
            </w:r>
          </w:p>
        </w:tc>
        <w:tc>
          <w:tcPr>
            <w:tcW w:type="dxa" w:w="1872"/>
          </w:tcPr>
          <w:p>
            <w:r/>
            <w:r>
              <w:rPr>
                <w:rFonts w:ascii="Times New Roman" w:hAnsi="Times New Roman"/>
                <w:sz w:val="20"/>
              </w:rPr>
              <w:t>0.98 (0.63–2.35)</w:t>
            </w:r>
          </w:p>
        </w:tc>
        <w:tc>
          <w:tcPr>
            <w:tcW w:type="dxa" w:w="1872"/>
          </w:tcPr>
          <w:p>
            <w:r/>
            <w:r>
              <w:rPr>
                <w:rFonts w:ascii="Times New Roman" w:hAnsi="Times New Roman"/>
                <w:sz w:val="20"/>
              </w:rPr>
              <w:t>60.9%</w:t>
            </w:r>
          </w:p>
        </w:tc>
        <w:tc>
          <w:tcPr>
            <w:tcW w:type="dxa" w:w="1872"/>
          </w:tcPr>
          <w:p>
            <w:r/>
            <w:r>
              <w:rPr>
                <w:rFonts w:ascii="Times New Roman" w:hAnsi="Times New Roman"/>
                <w:sz w:val="20"/>
              </w:rPr>
              <w:t>17.7%</w:t>
            </w:r>
          </w:p>
        </w:tc>
        <w:tc>
          <w:tcPr>
            <w:tcW w:type="dxa" w:w="1872"/>
          </w:tcPr>
          <w:p>
            <w:r/>
            <w:r>
              <w:rPr>
                <w:rFonts w:ascii="Times New Roman" w:hAnsi="Times New Roman"/>
                <w:sz w:val="20"/>
              </w:rPr>
              <w:t>9.1%</w:t>
            </w:r>
          </w:p>
        </w:tc>
      </w:tr>
      <w:tr>
        <w:tc>
          <w:tcPr>
            <w:tcW w:type="dxa" w:w="1872"/>
          </w:tcPr>
          <w:p>
            <w:r/>
            <w:r>
              <w:rPr>
                <w:rFonts w:ascii="Times New Roman" w:hAnsi="Times New Roman"/>
                <w:sz w:val="20"/>
              </w:rPr>
              <w:t>0.1</w:t>
            </w:r>
          </w:p>
        </w:tc>
        <w:tc>
          <w:tcPr>
            <w:tcW w:type="dxa" w:w="1872"/>
          </w:tcPr>
          <w:p>
            <w:r/>
            <w:r>
              <w:rPr>
                <w:rFonts w:ascii="Times New Roman" w:hAnsi="Times New Roman"/>
                <w:sz w:val="20"/>
              </w:rPr>
              <w:t>0.92 (0.63–2.19)</w:t>
            </w:r>
          </w:p>
        </w:tc>
        <w:tc>
          <w:tcPr>
            <w:tcW w:type="dxa" w:w="1872"/>
          </w:tcPr>
          <w:p>
            <w:r/>
            <w:r>
              <w:rPr>
                <w:rFonts w:ascii="Times New Roman" w:hAnsi="Times New Roman"/>
                <w:sz w:val="20"/>
              </w:rPr>
              <w:t>70.4%</w:t>
            </w:r>
          </w:p>
        </w:tc>
        <w:tc>
          <w:tcPr>
            <w:tcW w:type="dxa" w:w="1872"/>
          </w:tcPr>
          <w:p>
            <w:r/>
            <w:r>
              <w:rPr>
                <w:rFonts w:ascii="Times New Roman" w:hAnsi="Times New Roman"/>
                <w:sz w:val="20"/>
              </w:rPr>
              <w:t>43.5%</w:t>
            </w:r>
          </w:p>
        </w:tc>
        <w:tc>
          <w:tcPr>
            <w:tcW w:type="dxa" w:w="1872"/>
          </w:tcPr>
          <w:p>
            <w:r/>
            <w:r>
              <w:rPr>
                <w:rFonts w:ascii="Times New Roman" w:hAnsi="Times New Roman"/>
                <w:sz w:val="20"/>
              </w:rPr>
              <w:t>17.7%</w:t>
            </w:r>
          </w:p>
        </w:tc>
      </w:tr>
      <w:tr>
        <w:tc>
          <w:tcPr>
            <w:tcW w:type="dxa" w:w="1872"/>
          </w:tcPr>
          <w:p>
            <w:r/>
            <w:r>
              <w:rPr>
                <w:rFonts w:ascii="Times New Roman" w:hAnsi="Times New Roman"/>
                <w:sz w:val="20"/>
              </w:rPr>
              <w:t>0.2</w:t>
            </w:r>
          </w:p>
        </w:tc>
        <w:tc>
          <w:tcPr>
            <w:tcW w:type="dxa" w:w="1872"/>
          </w:tcPr>
          <w:p>
            <w:r/>
            <w:r>
              <w:rPr>
                <w:rFonts w:ascii="Times New Roman" w:hAnsi="Times New Roman"/>
                <w:sz w:val="20"/>
              </w:rPr>
              <w:t>0.88 (0.60–1.80)</w:t>
            </w:r>
          </w:p>
        </w:tc>
        <w:tc>
          <w:tcPr>
            <w:tcW w:type="dxa" w:w="1872"/>
          </w:tcPr>
          <w:p>
            <w:r/>
            <w:r>
              <w:rPr>
                <w:rFonts w:ascii="Times New Roman" w:hAnsi="Times New Roman"/>
                <w:sz w:val="20"/>
              </w:rPr>
              <w:t>78.4%</w:t>
            </w:r>
          </w:p>
        </w:tc>
        <w:tc>
          <w:tcPr>
            <w:tcW w:type="dxa" w:w="1872"/>
          </w:tcPr>
          <w:p>
            <w:r/>
            <w:r>
              <w:rPr>
                <w:rFonts w:ascii="Times New Roman" w:hAnsi="Times New Roman"/>
                <w:sz w:val="20"/>
              </w:rPr>
              <w:t>57.0%</w:t>
            </w:r>
          </w:p>
        </w:tc>
        <w:tc>
          <w:tcPr>
            <w:tcW w:type="dxa" w:w="1872"/>
          </w:tcPr>
          <w:p>
            <w:r/>
            <w:r>
              <w:rPr>
                <w:rFonts w:ascii="Times New Roman" w:hAnsi="Times New Roman"/>
                <w:sz w:val="20"/>
              </w:rPr>
              <w:t>26.0%</w:t>
            </w:r>
          </w:p>
        </w:tc>
      </w:tr>
      <w:tr>
        <w:tc>
          <w:tcPr>
            <w:tcW w:type="dxa" w:w="1872"/>
          </w:tcPr>
          <w:p>
            <w:r/>
            <w:r>
              <w:rPr>
                <w:rFonts w:ascii="Times New Roman" w:hAnsi="Times New Roman"/>
                <w:sz w:val="20"/>
              </w:rPr>
              <w:t>0.3</w:t>
            </w:r>
          </w:p>
        </w:tc>
        <w:tc>
          <w:tcPr>
            <w:tcW w:type="dxa" w:w="1872"/>
          </w:tcPr>
          <w:p>
            <w:r/>
            <w:r>
              <w:rPr>
                <w:rFonts w:ascii="Times New Roman" w:hAnsi="Times New Roman"/>
                <w:sz w:val="20"/>
              </w:rPr>
              <w:t>0.85 (0.59–1.57)</w:t>
            </w:r>
          </w:p>
        </w:tc>
        <w:tc>
          <w:tcPr>
            <w:tcW w:type="dxa" w:w="1872"/>
          </w:tcPr>
          <w:p>
            <w:r/>
            <w:r>
              <w:rPr>
                <w:rFonts w:ascii="Times New Roman" w:hAnsi="Times New Roman"/>
                <w:sz w:val="20"/>
              </w:rPr>
              <w:t>83.7%</w:t>
            </w:r>
          </w:p>
        </w:tc>
        <w:tc>
          <w:tcPr>
            <w:tcW w:type="dxa" w:w="1872"/>
          </w:tcPr>
          <w:p>
            <w:r/>
            <w:r>
              <w:rPr>
                <w:rFonts w:ascii="Times New Roman" w:hAnsi="Times New Roman"/>
                <w:sz w:val="20"/>
              </w:rPr>
              <w:t>65.7%</w:t>
            </w:r>
          </w:p>
        </w:tc>
        <w:tc>
          <w:tcPr>
            <w:tcW w:type="dxa" w:w="1872"/>
          </w:tcPr>
          <w:p>
            <w:r/>
            <w:r>
              <w:rPr>
                <w:rFonts w:ascii="Times New Roman" w:hAnsi="Times New Roman"/>
                <w:sz w:val="20"/>
              </w:rPr>
              <w:t>32.8%</w:t>
            </w:r>
          </w:p>
        </w:tc>
      </w:tr>
      <w:tr>
        <w:tc>
          <w:tcPr>
            <w:tcW w:type="dxa" w:w="1872"/>
          </w:tcPr>
          <w:p>
            <w:r/>
            <w:r>
              <w:rPr>
                <w:rFonts w:ascii="Times New Roman" w:hAnsi="Times New Roman"/>
                <w:sz w:val="20"/>
              </w:rPr>
              <w:t>0.5</w:t>
            </w:r>
          </w:p>
        </w:tc>
        <w:tc>
          <w:tcPr>
            <w:tcW w:type="dxa" w:w="1872"/>
          </w:tcPr>
          <w:p>
            <w:r/>
            <w:r>
              <w:rPr>
                <w:rFonts w:ascii="Times New Roman" w:hAnsi="Times New Roman"/>
                <w:sz w:val="20"/>
              </w:rPr>
              <w:t>0.82 (0.62–1.15)</w:t>
            </w:r>
          </w:p>
        </w:tc>
        <w:tc>
          <w:tcPr>
            <w:tcW w:type="dxa" w:w="1872"/>
          </w:tcPr>
          <w:p>
            <w:r/>
            <w:r>
              <w:rPr>
                <w:rFonts w:ascii="Times New Roman" w:hAnsi="Times New Roman"/>
                <w:sz w:val="20"/>
              </w:rPr>
              <w:t>91.9%</w:t>
            </w:r>
          </w:p>
        </w:tc>
        <w:tc>
          <w:tcPr>
            <w:tcW w:type="dxa" w:w="1872"/>
          </w:tcPr>
          <w:p>
            <w:r/>
            <w:r>
              <w:rPr>
                <w:rFonts w:ascii="Times New Roman" w:hAnsi="Times New Roman"/>
                <w:sz w:val="20"/>
              </w:rPr>
              <w:t>79.2%</w:t>
            </w:r>
          </w:p>
        </w:tc>
        <w:tc>
          <w:tcPr>
            <w:tcW w:type="dxa" w:w="1872"/>
          </w:tcPr>
          <w:p>
            <w:r/>
            <w:r>
              <w:rPr>
                <w:rFonts w:ascii="Times New Roman" w:hAnsi="Times New Roman"/>
                <w:sz w:val="20"/>
              </w:rPr>
              <w:t>42.5%</w:t>
            </w:r>
          </w:p>
        </w:tc>
      </w:tr>
      <w:tr>
        <w:tc>
          <w:tcPr>
            <w:tcW w:type="dxa" w:w="1872"/>
          </w:tcPr>
          <w:p>
            <w:r/>
            <w:r>
              <w:rPr>
                <w:rFonts w:ascii="Times New Roman" w:hAnsi="Times New Roman"/>
                <w:sz w:val="20"/>
              </w:rPr>
              <w:t>0.7</w:t>
            </w:r>
          </w:p>
        </w:tc>
        <w:tc>
          <w:tcPr>
            <w:tcW w:type="dxa" w:w="1872"/>
          </w:tcPr>
          <w:p>
            <w:r/>
            <w:r>
              <w:rPr>
                <w:rFonts w:ascii="Times New Roman" w:hAnsi="Times New Roman"/>
                <w:sz w:val="20"/>
              </w:rPr>
              <w:t>0.79 (0.63–1.02)</w:t>
            </w:r>
          </w:p>
        </w:tc>
        <w:tc>
          <w:tcPr>
            <w:tcW w:type="dxa" w:w="1872"/>
          </w:tcPr>
          <w:p>
            <w:r/>
            <w:r>
              <w:rPr>
                <w:rFonts w:ascii="Times New Roman" w:hAnsi="Times New Roman"/>
                <w:sz w:val="20"/>
              </w:rPr>
              <w:t>96.8%</w:t>
            </w:r>
          </w:p>
        </w:tc>
        <w:tc>
          <w:tcPr>
            <w:tcW w:type="dxa" w:w="1872"/>
          </w:tcPr>
          <w:p>
            <w:r/>
            <w:r>
              <w:rPr>
                <w:rFonts w:ascii="Times New Roman" w:hAnsi="Times New Roman"/>
                <w:sz w:val="20"/>
              </w:rPr>
              <w:t>88.7%</w:t>
            </w:r>
          </w:p>
        </w:tc>
        <w:tc>
          <w:tcPr>
            <w:tcW w:type="dxa" w:w="1872"/>
          </w:tcPr>
          <w:p>
            <w:r/>
            <w:r>
              <w:rPr>
                <w:rFonts w:ascii="Times New Roman" w:hAnsi="Times New Roman"/>
                <w:sz w:val="20"/>
              </w:rPr>
              <w:t>53.4%</w:t>
            </w:r>
          </w:p>
        </w:tc>
      </w:tr>
      <w:tr>
        <w:tc>
          <w:tcPr>
            <w:tcW w:type="dxa" w:w="1872"/>
          </w:tcPr>
          <w:p>
            <w:r/>
            <w:r>
              <w:rPr>
                <w:rFonts w:ascii="Times New Roman" w:hAnsi="Times New Roman"/>
                <w:sz w:val="20"/>
              </w:rPr>
              <w:t>1.0 (full weight)</w:t>
            </w:r>
          </w:p>
        </w:tc>
        <w:tc>
          <w:tcPr>
            <w:tcW w:type="dxa" w:w="1872"/>
          </w:tcPr>
          <w:p>
            <w:r/>
            <w:r>
              <w:rPr>
                <w:rFonts w:ascii="Times New Roman" w:hAnsi="Times New Roman"/>
                <w:sz w:val="20"/>
              </w:rPr>
              <w:t>0.78 (0.65–0.95)</w:t>
            </w:r>
          </w:p>
        </w:tc>
        <w:tc>
          <w:tcPr>
            <w:tcW w:type="dxa" w:w="1872"/>
          </w:tcPr>
          <w:p>
            <w:r/>
            <w:r>
              <w:rPr>
                <w:rFonts w:ascii="Times New Roman" w:hAnsi="Times New Roman"/>
                <w:sz w:val="20"/>
              </w:rPr>
              <w:t>99.1%</w:t>
            </w:r>
          </w:p>
        </w:tc>
        <w:tc>
          <w:tcPr>
            <w:tcW w:type="dxa" w:w="1872"/>
          </w:tcPr>
          <w:p>
            <w:r/>
            <w:r>
              <w:rPr>
                <w:rFonts w:ascii="Times New Roman" w:hAnsi="Times New Roman"/>
                <w:sz w:val="20"/>
              </w:rPr>
              <w:t>94.8%</w:t>
            </w:r>
          </w:p>
        </w:tc>
        <w:tc>
          <w:tcPr>
            <w:tcW w:type="dxa" w:w="1872"/>
          </w:tcPr>
          <w:p>
            <w:r/>
            <w:r>
              <w:rPr>
                <w:rFonts w:ascii="Times New Roman" w:hAnsi="Times New Roman"/>
                <w:sz w:val="20"/>
              </w:rPr>
              <w:t>64.1%</w:t>
            </w:r>
          </w:p>
        </w:tc>
      </w:tr>
    </w:tbl>
    <w:p>
      <w:pPr>
        <w:jc w:val="center"/>
      </w:pPr>
      <w:r>
        <w:drawing>
          <wp:inline xmlns:a="http://schemas.openxmlformats.org/drawingml/2006/main" xmlns:pic="http://schemas.openxmlformats.org/drawingml/2006/picture">
            <wp:extent cx="5029200" cy="2063370"/>
            <wp:docPr id="7" name="Picture 7"/>
            <wp:cNvGraphicFramePr>
              <a:graphicFrameLocks noChangeAspect="1"/>
            </wp:cNvGraphicFramePr>
            <a:graphic>
              <a:graphicData uri="http://schemas.openxmlformats.org/drawingml/2006/picture">
                <pic:pic>
                  <pic:nvPicPr>
                    <pic:cNvPr id="0" name="fig7_sensitivity_analysis.png"/>
                    <pic:cNvPicPr/>
                  </pic:nvPicPr>
                  <pic:blipFill>
                    <a:blip r:embed="rId15"/>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7.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w:t>
      </w:r>
    </w:p>
    <w:p>
      <w:pPr>
        <w:pStyle w:val="Heading3"/>
      </w:pPr>
      <w:r>
        <w:rPr>
          <w:color w:val="000000"/>
        </w:rPr>
        <w:t>Module H assessment</w:t>
      </w:r>
    </w:p>
    <w:p>
      <w:r>
        <w:rPr>
          <w:rFonts w:ascii="Times New Roman" w:hAnsi="Times New Roman"/>
          <w:b w:val="0"/>
          <w:i w:val="0"/>
          <w:sz w:val="24"/>
        </w:rPr>
        <w:t xml:space="preserve">Module H results are summarized in Table 7 and Fig. 8. For magnesium, the OIS for the pre-ISIS-4 effect was 85 events and the observed total was 4,617 (information fraction 5426%). Although the OIS was exceeded, the pooled estimate was dominated by high between-study heterogeneity; the appropriate KOTHA classification is </w:t>
      </w:r>
      <w:r>
        <w:rPr>
          <w:rFonts w:ascii="Times New Roman" w:hAnsi="Times New Roman"/>
          <w:b/>
          <w:i w:val="0"/>
          <w:sz w:val="24"/>
        </w:rPr>
        <w:t>inconclusive with serious imprecision</w:t>
      </w:r>
      <w:r>
        <w:rPr>
          <w:rFonts w:ascii="Times New Roman" w:hAnsi="Times New Roman"/>
          <w:b w:val="0"/>
          <w:i w:val="0"/>
          <w:sz w:val="24"/>
        </w:rPr>
        <w:t xml:space="preserve">. For statins, the OIS for the observational effect was 279 events and the RCTs contributed 1,385 events (information fraction 496%). The cumulative Z was -0.74, the efficacy boundary was not crossed, and the event rate ratio was 0.53; the appropriate classification is </w:t>
      </w:r>
      <w:r>
        <w:rPr>
          <w:rFonts w:ascii="Times New Roman" w:hAnsi="Times New Roman"/>
          <w:b/>
          <w:i w:val="0"/>
          <w:sz w:val="24"/>
        </w:rPr>
        <w:t>inconclusive with serious indirectness</w:t>
      </w:r>
      <w:r>
        <w:rPr>
          <w:rFonts w:ascii="Times New Roman" w:hAnsi="Times New Roman"/>
          <w:b w:val="0"/>
          <w:i w:val="0"/>
          <w:sz w:val="24"/>
        </w:rPr>
        <w:t>. In both cases, standard GRADE would be more likely to conclude "no benefit demonstrated," whereas KOTHA explicitly labels the evidence as informationally insufficient.</w:t>
      </w:r>
    </w:p>
    <w:p>
      <w:r>
        <w:rPr>
          <w:rFonts w:ascii="Times New Roman" w:hAnsi="Times New Roman"/>
          <w:b/>
          <w:i w:val="0"/>
          <w:sz w:val="24"/>
        </w:rPr>
        <w:t>Table 7: Module H assessment --- Standard GRADE vs. KOTHA-enhanced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GRADE domain</w:t>
            </w:r>
          </w:p>
        </w:tc>
        <w:tc>
          <w:tcPr>
            <w:tcW w:type="dxa" w:w="1872"/>
          </w:tcPr>
          <w:p>
            <w:r/>
            <w:r>
              <w:rPr>
                <w:rFonts w:ascii="Times New Roman" w:hAnsi="Times New Roman"/>
                <w:b/>
                <w:sz w:val="20"/>
              </w:rPr>
              <w:t>Standard (Mg in AMI)</w:t>
            </w:r>
          </w:p>
        </w:tc>
        <w:tc>
          <w:tcPr>
            <w:tcW w:type="dxa" w:w="1872"/>
          </w:tcPr>
          <w:p>
            <w:r/>
            <w:r>
              <w:rPr>
                <w:rFonts w:ascii="Times New Roman" w:hAnsi="Times New Roman"/>
                <w:b/>
                <w:sz w:val="20"/>
              </w:rPr>
              <w:t>KOTHA (Mg in AMI)</w:t>
            </w:r>
          </w:p>
        </w:tc>
        <w:tc>
          <w:tcPr>
            <w:tcW w:type="dxa" w:w="1872"/>
          </w:tcPr>
          <w:p>
            <w:r/>
            <w:r>
              <w:rPr>
                <w:rFonts w:ascii="Times New Roman" w:hAnsi="Times New Roman"/>
                <w:b/>
                <w:sz w:val="20"/>
              </w:rPr>
              <w:t>Standard (Statins HF)</w:t>
            </w:r>
          </w:p>
        </w:tc>
        <w:tc>
          <w:tcPr>
            <w:tcW w:type="dxa" w:w="1872"/>
          </w:tcPr>
          <w:p>
            <w:r/>
            <w:r>
              <w:rPr>
                <w:rFonts w:ascii="Times New Roman" w:hAnsi="Times New Roman"/>
                <w:b/>
                <w:sz w:val="20"/>
              </w:rPr>
              <w:t>KOTHA (Statins HF)</w:t>
            </w:r>
          </w:p>
        </w:tc>
      </w:tr>
      <w:tr>
        <w:tc>
          <w:tcPr>
            <w:tcW w:type="dxa" w:w="1872"/>
          </w:tcPr>
          <w:p>
            <w:r/>
            <w:r>
              <w:rPr>
                <w:rFonts w:ascii="Times New Roman" w:hAnsi="Times New Roman"/>
                <w:sz w:val="20"/>
              </w:rPr>
              <w:t>Risk of bias</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r>
      <w:tr>
        <w:tc>
          <w:tcPr>
            <w:tcW w:type="dxa" w:w="1872"/>
          </w:tcPr>
          <w:p>
            <w:r/>
            <w:r>
              <w:rPr>
                <w:rFonts w:ascii="Times New Roman" w:hAnsi="Times New Roman"/>
                <w:sz w:val="20"/>
              </w:rPr>
              <w:t>Inconsistency</w:t>
            </w:r>
          </w:p>
        </w:tc>
        <w:tc>
          <w:tcPr>
            <w:tcW w:type="dxa" w:w="1872"/>
          </w:tcPr>
          <w:p>
            <w:r/>
            <w:r>
              <w:rPr>
                <w:rFonts w:ascii="Times New Roman" w:hAnsi="Times New Roman"/>
                <w:sz w:val="20"/>
              </w:rPr>
              <w:t>High (I² = 62%)</w:t>
            </w:r>
          </w:p>
        </w:tc>
        <w:tc>
          <w:tcPr>
            <w:tcW w:type="dxa" w:w="1872"/>
          </w:tcPr>
          <w:p>
            <w:r/>
            <w:r>
              <w:rPr>
                <w:rFonts w:ascii="Times New Roman" w:hAnsi="Times New Roman"/>
                <w:sz w:val="20"/>
              </w:rPr>
              <w:t>High (I² = 62%)</w:t>
            </w:r>
          </w:p>
        </w:tc>
        <w:tc>
          <w:tcPr>
            <w:tcW w:type="dxa" w:w="1872"/>
          </w:tcPr>
          <w:p>
            <w:r/>
            <w:r>
              <w:rPr>
                <w:rFonts w:ascii="Times New Roman" w:hAnsi="Times New Roman"/>
                <w:sz w:val="20"/>
              </w:rPr>
              <w:t>Low (I² = 0%)</w:t>
            </w:r>
          </w:p>
        </w:tc>
        <w:tc>
          <w:tcPr>
            <w:tcW w:type="dxa" w:w="1872"/>
          </w:tcPr>
          <w:p>
            <w:r/>
            <w:r>
              <w:rPr>
                <w:rFonts w:ascii="Times New Roman" w:hAnsi="Times New Roman"/>
                <w:sz w:val="20"/>
              </w:rPr>
              <w:t>Low (I² = 0%)</w:t>
            </w:r>
          </w:p>
        </w:tc>
      </w:tr>
      <w:tr>
        <w:tc>
          <w:tcPr>
            <w:tcW w:type="dxa" w:w="1872"/>
          </w:tcPr>
          <w:p>
            <w:r/>
            <w:r>
              <w:rPr>
                <w:rFonts w:ascii="Times New Roman" w:hAnsi="Times New Roman"/>
                <w:sz w:val="20"/>
              </w:rPr>
              <w:t>Indirectness</w:t>
            </w:r>
          </w:p>
        </w:tc>
        <w:tc>
          <w:tcPr>
            <w:tcW w:type="dxa" w:w="1872"/>
          </w:tcPr>
          <w:p>
            <w:r/>
            <w:r>
              <w:rPr>
                <w:rFonts w:ascii="Times New Roman" w:hAnsi="Times New Roman"/>
                <w:sz w:val="20"/>
              </w:rPr>
              <w:t>Not assessed</w:t>
            </w:r>
          </w:p>
        </w:tc>
        <w:tc>
          <w:tcPr>
            <w:tcW w:type="dxa" w:w="1872"/>
          </w:tcPr>
          <w:p>
            <w:r/>
            <w:r>
              <w:rPr>
                <w:rFonts w:ascii="Times New Roman" w:hAnsi="Times New Roman"/>
                <w:sz w:val="20"/>
              </w:rPr>
              <w:t>Moderate: event rate decreased by 18%</w:t>
            </w:r>
          </w:p>
        </w:tc>
        <w:tc>
          <w:tcPr>
            <w:tcW w:type="dxa" w:w="1872"/>
          </w:tcPr>
          <w:p>
            <w:r/>
            <w:r>
              <w:rPr>
                <w:rFonts w:ascii="Times New Roman" w:hAnsi="Times New Roman"/>
                <w:sz w:val="20"/>
              </w:rPr>
              <w:t>Not assessed</w:t>
            </w:r>
          </w:p>
        </w:tc>
        <w:tc>
          <w:tcPr>
            <w:tcW w:type="dxa" w:w="1872"/>
          </w:tcPr>
          <w:p>
            <w:r/>
            <w:r>
              <w:rPr>
                <w:rFonts w:ascii="Times New Roman" w:hAnsi="Times New Roman"/>
                <w:sz w:val="20"/>
              </w:rPr>
              <w:t>Serious: event rate decreased by 47%</w:t>
            </w:r>
          </w:p>
        </w:tc>
      </w:tr>
      <w:tr>
        <w:tc>
          <w:tcPr>
            <w:tcW w:type="dxa" w:w="1872"/>
          </w:tcPr>
          <w:p>
            <w:r/>
            <w:r>
              <w:rPr>
                <w:rFonts w:ascii="Times New Roman" w:hAnsi="Times New Roman"/>
                <w:sz w:val="20"/>
              </w:rPr>
              <w:t>Imprecision</w:t>
            </w:r>
          </w:p>
        </w:tc>
        <w:tc>
          <w:tcPr>
            <w:tcW w:type="dxa" w:w="1872"/>
          </w:tcPr>
          <w:p>
            <w:r/>
            <w:r>
              <w:rPr>
                <w:rFonts w:ascii="Times New Roman" w:hAnsi="Times New Roman"/>
                <w:sz w:val="20"/>
              </w:rPr>
              <w:t>Serious</w:t>
            </w:r>
          </w:p>
        </w:tc>
        <w:tc>
          <w:tcPr>
            <w:tcW w:type="dxa" w:w="1872"/>
          </w:tcPr>
          <w:p>
            <w:r/>
            <w:r>
              <w:rPr>
                <w:rFonts w:ascii="Times New Roman" w:hAnsi="Times New Roman"/>
                <w:sz w:val="20"/>
              </w:rPr>
              <w:t>Serious (heterogeneity-driven)</w:t>
            </w:r>
          </w:p>
        </w:tc>
        <w:tc>
          <w:tcPr>
            <w:tcW w:type="dxa" w:w="1872"/>
          </w:tcPr>
          <w:p>
            <w:r/>
            <w:r>
              <w:rPr>
                <w:rFonts w:ascii="Times New Roman" w:hAnsi="Times New Roman"/>
                <w:sz w:val="20"/>
              </w:rPr>
              <w:t>Serious</w:t>
            </w:r>
          </w:p>
        </w:tc>
        <w:tc>
          <w:tcPr>
            <w:tcW w:type="dxa" w:w="1872"/>
          </w:tcPr>
          <w:p>
            <w:r/>
            <w:r>
              <w:rPr>
                <w:rFonts w:ascii="Times New Roman" w:hAnsi="Times New Roman"/>
                <w:sz w:val="20"/>
              </w:rPr>
              <w:t>Serious</w:t>
            </w:r>
          </w:p>
        </w:tc>
      </w:tr>
      <w:tr>
        <w:tc>
          <w:tcPr>
            <w:tcW w:type="dxa" w:w="1872"/>
          </w:tcPr>
          <w:p>
            <w:r/>
            <w:r>
              <w:rPr>
                <w:rFonts w:ascii="Times New Roman" w:hAnsi="Times New Roman"/>
                <w:sz w:val="20"/>
              </w:rPr>
              <w:t>Overall certainty</w:t>
            </w:r>
          </w:p>
        </w:tc>
        <w:tc>
          <w:tcPr>
            <w:tcW w:type="dxa" w:w="1872"/>
          </w:tcPr>
          <w:p>
            <w:r/>
            <w:r>
              <w:rPr>
                <w:rFonts w:ascii="Times New Roman" w:hAnsi="Times New Roman"/>
                <w:sz w:val="20"/>
              </w:rPr>
              <w:t>Low</w:t>
            </w:r>
          </w:p>
        </w:tc>
        <w:tc>
          <w:tcPr>
            <w:tcW w:type="dxa" w:w="1872"/>
          </w:tcPr>
          <w:p>
            <w:r/>
            <w:r>
              <w:rPr>
                <w:rFonts w:ascii="Times New Roman" w:hAnsi="Times New Roman"/>
                <w:sz w:val="20"/>
              </w:rPr>
              <w:t>Very low</w:t>
            </w:r>
          </w:p>
        </w:tc>
        <w:tc>
          <w:tcPr>
            <w:tcW w:type="dxa" w:w="1872"/>
          </w:tcPr>
          <w:p>
            <w:r/>
            <w:r>
              <w:rPr>
                <w:rFonts w:ascii="Times New Roman" w:hAnsi="Times New Roman"/>
                <w:sz w:val="20"/>
              </w:rPr>
              <w:t>Moderate</w:t>
            </w:r>
          </w:p>
        </w:tc>
        <w:tc>
          <w:tcPr>
            <w:tcW w:type="dxa" w:w="1872"/>
          </w:tcPr>
          <w:p>
            <w:r/>
            <w:r>
              <w:rPr>
                <w:rFonts w:ascii="Times New Roman" w:hAnsi="Times New Roman"/>
                <w:sz w:val="20"/>
              </w:rPr>
              <w:t>Low</w:t>
            </w:r>
          </w:p>
        </w:tc>
      </w:tr>
      <w:tr>
        <w:tc>
          <w:tcPr>
            <w:tcW w:type="dxa" w:w="1872"/>
          </w:tcPr>
          <w:p>
            <w:r/>
            <w:r>
              <w:rPr>
                <w:rFonts w:ascii="Times New Roman" w:hAnsi="Times New Roman"/>
                <w:sz w:val="20"/>
              </w:rPr>
              <w:t>Recommendation</w:t>
            </w:r>
          </w:p>
        </w:tc>
        <w:tc>
          <w:tcPr>
            <w:tcW w:type="dxa" w:w="1872"/>
          </w:tcPr>
          <w:p>
            <w:r/>
            <w:r>
              <w:rPr>
                <w:rFonts w:ascii="Times New Roman" w:hAnsi="Times New Roman"/>
                <w:sz w:val="20"/>
              </w:rPr>
              <w:t>"No benefit demonstrated"</w:t>
            </w:r>
          </w:p>
        </w:tc>
        <w:tc>
          <w:tcPr>
            <w:tcW w:type="dxa" w:w="1872"/>
          </w:tcPr>
          <w:p>
            <w:r/>
            <w:r>
              <w:rPr>
                <w:rFonts w:ascii="Times New Roman" w:hAnsi="Times New Roman"/>
                <w:sz w:val="20"/>
              </w:rPr>
              <w:t>"Inconclusive; conditional recommendation"</w:t>
            </w:r>
          </w:p>
        </w:tc>
        <w:tc>
          <w:tcPr>
            <w:tcW w:type="dxa" w:w="1872"/>
          </w:tcPr>
          <w:p>
            <w:r/>
            <w:r>
              <w:rPr>
                <w:rFonts w:ascii="Times New Roman" w:hAnsi="Times New Roman"/>
                <w:sz w:val="20"/>
              </w:rPr>
              <w:t>"No benefit demonstrated"</w:t>
            </w:r>
          </w:p>
        </w:tc>
        <w:tc>
          <w:tcPr>
            <w:tcW w:type="dxa" w:w="1872"/>
          </w:tcPr>
          <w:p>
            <w:r/>
            <w:r>
              <w:rPr>
                <w:rFonts w:ascii="Times New Roman" w:hAnsi="Times New Roman"/>
                <w:sz w:val="20"/>
              </w:rPr>
              <w:t>"Inconclusive; conditional recommendation"</w:t>
            </w:r>
          </w:p>
        </w:tc>
      </w:tr>
    </w:tbl>
    <w:p>
      <w:pPr>
        <w:jc w:val="center"/>
      </w:pPr>
      <w:r>
        <w:drawing>
          <wp:inline xmlns:a="http://schemas.openxmlformats.org/drawingml/2006/main" xmlns:pic="http://schemas.openxmlformats.org/drawingml/2006/picture">
            <wp:extent cx="5029200" cy="2715861"/>
            <wp:docPr id="8" name="Picture 8"/>
            <wp:cNvGraphicFramePr>
              <a:graphicFrameLocks noChangeAspect="1"/>
            </wp:cNvGraphicFramePr>
            <a:graphic>
              <a:graphicData uri="http://schemas.openxmlformats.org/drawingml/2006/picture">
                <pic:pic>
                  <pic:nvPicPr>
                    <pic:cNvPr id="0" name="fig8_module_h_comparison.png"/>
                    <pic:cNvPicPr/>
                  </pic:nvPicPr>
                  <pic:blipFill>
                    <a:blip r:embed="rId16"/>
                    <a:stretch>
                      <a:fillRect/>
                    </a:stretch>
                  </pic:blipFill>
                  <pic:spPr>
                    <a:xfrm>
                      <a:off x="0" y="0"/>
                      <a:ext cx="5029200" cy="2715861"/>
                    </a:xfrm>
                    <a:prstGeom prst="rect"/>
                  </pic:spPr>
                </pic:pic>
              </a:graphicData>
            </a:graphic>
          </wp:inline>
        </w:drawing>
      </w:r>
    </w:p>
    <w:p>
      <w:pPr>
        <w:jc w:val="left"/>
      </w:pPr>
      <w:r>
        <w:rPr>
          <w:rFonts w:ascii="Times New Roman" w:hAnsi="Times New Roman"/>
          <w:b/>
          <w:sz w:val="20"/>
        </w:rPr>
        <w:t xml:space="preserve">Figure 8. </w:t>
      </w:r>
      <w:r>
        <w:rPr>
          <w:rFonts w:ascii="Times New Roman" w:hAnsi="Times New Roman"/>
          <w:sz w:val="20"/>
        </w:rPr>
        <w:t>Module H assessment comparison: standard GRADE vs. KOTHA-enhanced evaluation for both illustrative cases. Color coding indicates severity of concern (green = no concern, yellow = moderate, red = serious).</w:t>
      </w:r>
    </w:p>
    <w:p>
      <w:pPr>
        <w:pStyle w:val="Heading2"/>
      </w:pPr>
      <w:r>
        <w:rPr>
          <w:color w:val="000000"/>
        </w:rPr>
        <w:t>Discussion</w:t>
      </w:r>
    </w:p>
    <w:p>
      <w:pPr>
        <w:pStyle w:val="Heading3"/>
      </w:pPr>
      <w:r>
        <w:rPr>
          <w:color w:val="000000"/>
        </w:rPr>
        <w:t>Principal findings</w:t>
      </w:r>
    </w:p>
    <w:p>
      <w:r>
        <w:rPr>
          <w:rFonts w:ascii="Times New Roman" w:hAnsi="Times New Roman"/>
          <w:b w:val="0"/>
          <w:i w:val="0"/>
          <w:sz w:val="24"/>
        </w:rPr>
        <w:t>The KOTHA Framework integrates counterfactual power simulation, Bayesian evidence synthesis, and structured GRADE interpretation to diagnose structural information loss in RCT meta-analyses. In the magnesium case, Module K identified an 18% temporal decline in control event rates from the pre-thrombolysis era to ISIS-4. The divergence between pre-ISIS-4 and all-trials estimates is better explained by era-dependent treatment effect heterogeneity (I² = 62%) than by simple underpowering. In the statins case, Module K showed that RCT populations had roughly half the event rate of observational cohorts, and that power for a modest effect (HR = 0.85) dropped from 85% to 58%. Module T demonstrated that even modest borrowing from observational evidence shifted posterior probabilities of benefit substantially, but uncertainty remained. Module H reclassified both cases as inconclusive rather than "no effect."</w:t>
      </w:r>
    </w:p>
    <w:p>
      <w:pPr>
        <w:pStyle w:val="Heading3"/>
      </w:pPr>
      <w:r>
        <w:rPr>
          <w:color w:val="000000"/>
        </w:rPr>
        <w:t>Implications for clinical trial design</w:t>
      </w:r>
    </w:p>
    <w:p>
      <w:r>
        <w:rPr>
          <w:rFonts w:ascii="Times New Roman" w:hAnsi="Times New Roman"/>
          <w:b w:val="0"/>
          <w:i w:val="0"/>
          <w:sz w:val="24"/>
        </w:rPr>
        <w:t>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w:pPr>
        <w:pStyle w:val="ListBullet"/>
      </w:pPr>
      <w:r>
        <w:rPr>
          <w:rFonts w:ascii="Times New Roman" w:hAnsi="Times New Roman"/>
          <w:b/>
          <w:i w:val="0"/>
          <w:sz w:val="24"/>
        </w:rPr>
        <w:t>Sample size</w:t>
      </w:r>
      <w:r>
        <w:rPr>
          <w:rFonts w:ascii="Times New Roman" w:hAnsi="Times New Roman"/>
          <w:b w:val="0"/>
          <w:i w:val="0"/>
          <w:sz w:val="24"/>
        </w:rPr>
        <w:t>: required N can be calculated under S2 and S3 rather than under an assumed event rate that may not materialize.</w:t>
      </w:r>
    </w:p>
    <w:p>
      <w:pPr>
        <w:pStyle w:val="ListBullet"/>
      </w:pPr>
      <w:r>
        <w:rPr>
          <w:rFonts w:ascii="Times New Roman" w:hAnsi="Times New Roman"/>
          <w:b/>
          <w:i w:val="0"/>
          <w:sz w:val="24"/>
        </w:rPr>
        <w:t>Eligibility criteria</w:t>
      </w:r>
      <w:r>
        <w:rPr>
          <w:rFonts w:ascii="Times New Roman" w:hAnsi="Times New Roman"/>
          <w:b w:val="0"/>
          <w:i w:val="0"/>
          <w:sz w:val="24"/>
        </w:rPr>
        <w:t>: the information cost of excluding high-risk subgroups can be quantified and balanced against safety considerations.</w:t>
      </w:r>
    </w:p>
    <w:p>
      <w:pPr>
        <w:pStyle w:val="ListBullet"/>
      </w:pPr>
      <w:r>
        <w:rPr>
          <w:rFonts w:ascii="Times New Roman" w:hAnsi="Times New Roman"/>
          <w:b/>
          <w:i w:val="0"/>
          <w:sz w:val="24"/>
        </w:rPr>
        <w:t>Enrichment thresholds</w:t>
      </w:r>
      <w:r>
        <w:rPr>
          <w:rFonts w:ascii="Times New Roman" w:hAnsi="Times New Roman"/>
          <w:b w:val="0"/>
          <w:i w:val="0"/>
          <w:sz w:val="24"/>
        </w:rPr>
        <w:t>: a minimum proportion of high-risk patients can be prespecified and powered.</w:t>
      </w:r>
    </w:p>
    <w:p>
      <w:pPr>
        <w:pStyle w:val="ListBullet"/>
      </w:pPr>
      <w:r>
        <w:rPr>
          <w:rFonts w:ascii="Times New Roman" w:hAnsi="Times New Roman"/>
          <w:b/>
          <w:i w:val="0"/>
          <w:sz w:val="24"/>
        </w:rPr>
        <w:t>Endpoints and follow-up</w:t>
      </w:r>
      <w:r>
        <w:rPr>
          <w:rFonts w:ascii="Times New Roman" w:hAnsi="Times New Roman"/>
          <w:b w:val="0"/>
          <w:i w:val="0"/>
          <w:sz w:val="24"/>
        </w:rPr>
        <w:t>: when the primary event rate is diluted, composite endpoints or longer follow-up can be evaluated.</w:t>
      </w:r>
    </w:p>
    <w:p>
      <w:r>
        <w:rPr>
          <w:rFonts w:ascii="Times New Roman" w:hAnsi="Times New Roman"/>
          <w:b w:val="0"/>
          <w:i w:val="0"/>
          <w:sz w:val="24"/>
        </w:rPr>
        <w:t>In this way, KOTHA moves the design conversation from "what sample size do we need under the planned effect?" to "what sample size do we need under the event rate we will actually observe in the enrolled population?"</w:t>
      </w:r>
    </w:p>
    <w:p>
      <w:pPr>
        <w:pStyle w:val="Heading3"/>
      </w:pPr>
      <w:r>
        <w:rPr>
          <w:color w:val="000000"/>
        </w:rPr>
        <w:t>Comparison with existing methods</w:t>
      </w:r>
    </w:p>
    <w:p>
      <w:r>
        <w:rPr>
          <w:rFonts w:ascii="Times New Roman" w:hAnsi="Times New Roman"/>
          <w:b w:val="0"/>
          <w:i w:val="0"/>
          <w:sz w:val="24"/>
        </w:rPr>
        <w:t>Target trial emulation uses observational data to mimic a specific RCT in order to estimate a causal effect [25-26]. Module K is complementary: it does not estimate effects but quantifies the information lost due to enrollment decisions. Existing methods for combining RCT and observational evidence include hierarchical models, power priors, and meta-analytic-predictive priors [27-29]. Module T builds on these but embeds them in a broader workflow that first diagnoses the need for integration and then interprets the result through Module H. TSA and OIS are well established [6-9], but are not routinely used to quantify risk-profile shifts. GRADE provides domains for assessment [1]; KOTHA provides quantitative inputs to the imprecision and indirectness domains without changing GRADE's structure.</w:t>
      </w:r>
    </w:p>
    <w:p>
      <w:pPr>
        <w:pStyle w:val="Heading3"/>
      </w:pPr>
      <w:r>
        <w:rPr>
          <w:color w:val="000000"/>
        </w:rPr>
        <w:t>Strengths and limitations</w:t>
      </w:r>
    </w:p>
    <w:p>
      <w:r>
        <w:rPr>
          <w:rFonts w:ascii="Times New Roman" w:hAnsi="Times New Roman"/>
          <w:b w:val="0"/>
          <w:i w:val="0"/>
          <w:sz w:val="24"/>
        </w:rPr>
        <w:t>The framework is reproducible from published aggregate data, follows the ADEMP reporting structure [10], and is illustrated with real, well-documented cases rather than synthetic examples. The modular design allows each component to be used independently.</w:t>
      </w:r>
    </w:p>
    <w:p>
      <w:r>
        <w:rPr>
          <w:rFonts w:ascii="Times New Roman" w:hAnsi="Times New Roman"/>
          <w:b w:val="0"/>
          <w:i w:val="0"/>
          <w:sz w:val="24"/>
        </w:rPr>
        <w:t>Limitations should be acknowledged. The cases are retrospective applications; prospective validation against trials whose results are not yet known would be stronger. Module T results are sensitive to the discounting parameter α and to assumptions about residual confounding; we present sensitivity analyses but do not claim a single preferred α. The magnesium case involves genuine treatment-effect heterogeneity across thrombolysis eras, which Module K identifies but cannot fully explain. Finally, adoption by guideline groups will require institutional change beyond the method itself.</w:t>
      </w:r>
    </w:p>
    <w:p>
      <w:pPr>
        <w:pStyle w:val="Heading2"/>
      </w:pPr>
      <w:r>
        <w:rPr>
          <w:color w:val="000000"/>
        </w:rPr>
        <w:t>Conclusions</w:t>
      </w:r>
    </w:p>
    <w:p>
      <w:r>
        <w:rPr>
          <w:rFonts w:ascii="Times New Roman" w:hAnsi="Times New Roman"/>
          <w:b w:val="0"/>
          <w:i w:val="0"/>
          <w:sz w:val="24"/>
        </w:rPr>
        <w:t>The KOTHA Framework (Knowledge-driven Observational-Trial Harmonization Approach) addresses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w:t>
      </w:r>
    </w:p>
    <w:p>
      <w:pPr>
        <w:pStyle w:val="Heading2"/>
      </w:pPr>
      <w:r>
        <w:rPr>
          <w:color w:val="000000"/>
        </w:rPr>
        <w:t>Declarations</w:t>
      </w:r>
    </w:p>
    <w:p>
      <w:pPr>
        <w:pStyle w:val="Heading3"/>
      </w:pPr>
      <w:r>
        <w:rPr>
          <w:color w:val="000000"/>
        </w:rPr>
        <w:t>Ethics approval and consent to participate</w:t>
      </w:r>
    </w:p>
    <w:p>
      <w:r>
        <w:rPr>
          <w:rFonts w:ascii="Times New Roman" w:hAnsi="Times New Roman"/>
          <w:b w:val="0"/>
          <w:i w:val="0"/>
          <w:sz w:val="24"/>
        </w:rPr>
        <w:t>Not applicable. This study proposes a methodological framework and uses only published aggregate data.</w:t>
      </w:r>
    </w:p>
    <w:p>
      <w:pPr>
        <w:pStyle w:val="Heading3"/>
      </w:pPr>
      <w:r>
        <w:rPr>
          <w:color w:val="000000"/>
        </w:rPr>
        <w:t>Consent for publication</w:t>
      </w:r>
    </w:p>
    <w:p>
      <w:r>
        <w:rPr>
          <w:rFonts w:ascii="Times New Roman" w:hAnsi="Times New Roman"/>
          <w:b w:val="0"/>
          <w:i w:val="0"/>
          <w:sz w:val="24"/>
        </w:rPr>
        <w:t>Not applicable.</w:t>
      </w:r>
    </w:p>
    <w:p>
      <w:pPr>
        <w:pStyle w:val="Heading3"/>
      </w:pPr>
      <w:r>
        <w:rPr>
          <w:color w:val="000000"/>
        </w:rPr>
        <w:t>Availability of data and materials</w:t>
      </w:r>
    </w:p>
    <w:p>
      <w:r>
        <w:rPr>
          <w:rFonts w:ascii="Times New Roman" w:hAnsi="Times New Roman"/>
          <w:b w:val="0"/>
          <w:i w:val="0"/>
          <w:sz w:val="24"/>
        </w:rPr>
        <w:t>All data are from published sources and are included in the repository (https://github.com/bougtoir/kotha-rct-decomposition). Python code that reproduces all results, tables, and figures is available in the same repository.</w:t>
      </w:r>
    </w:p>
    <w:p>
      <w:pPr>
        <w:pStyle w:val="Heading3"/>
      </w:pPr>
      <w:r>
        <w:rPr>
          <w:color w:val="000000"/>
        </w:rPr>
        <w:t>Competing interests</w:t>
      </w:r>
    </w:p>
    <w:p>
      <w:r>
        <w:rPr>
          <w:rFonts w:ascii="Times New Roman" w:hAnsi="Times New Roman"/>
          <w:b w:val="0"/>
          <w:i w:val="0"/>
          <w:sz w:val="24"/>
        </w:rPr>
        <w:t>The authors declare that they have no competing interests.</w:t>
      </w:r>
    </w:p>
    <w:p>
      <w:pPr>
        <w:pStyle w:val="Heading3"/>
      </w:pPr>
      <w:r>
        <w:rPr>
          <w:color w:val="000000"/>
        </w:rPr>
        <w:t>Funding</w:t>
      </w:r>
    </w:p>
    <w:p>
      <w:r>
        <w:rPr>
          <w:rFonts w:ascii="Times New Roman" w:hAnsi="Times New Roman"/>
          <w:b w:val="0"/>
          <w:i w:val="0"/>
          <w:sz w:val="24"/>
        </w:rPr>
        <w:t>[To be determined]</w:t>
      </w:r>
    </w:p>
    <w:p>
      <w:pPr>
        <w:pStyle w:val="Heading3"/>
      </w:pPr>
      <w:r>
        <w:rPr>
          <w:color w:val="000000"/>
        </w:rPr>
        <w:t>Authors' contributions</w:t>
      </w:r>
    </w:p>
    <w:p>
      <w:r>
        <w:rPr>
          <w:rFonts w:ascii="Times New Roman" w:hAnsi="Times New Roman"/>
          <w:b w:val="0"/>
          <w:i w:val="0"/>
          <w:sz w:val="24"/>
        </w:rPr>
        <w:t>[To be determined]</w:t>
      </w:r>
    </w:p>
    <w:p>
      <w:pPr>
        <w:pStyle w:val="Heading3"/>
      </w:pPr>
      <w:r>
        <w:rPr>
          <w:color w:val="000000"/>
        </w:rPr>
        <w:t>Acknowledgements</w:t>
      </w:r>
    </w:p>
    <w:p>
      <w:r>
        <w:rPr>
          <w:rFonts w:ascii="Times New Roman" w:hAnsi="Times New Roman"/>
          <w:b w:val="0"/>
          <w:i w:val="0"/>
          <w:sz w:val="24"/>
        </w:rPr>
        <w:t>[To be determined]</w:t>
      </w:r>
    </w:p>
    <w:p>
      <w:pPr>
        <w:pStyle w:val="Heading2"/>
      </w:pPr>
      <w:r>
        <w:rPr>
          <w:color w:val="000000"/>
        </w:rPr>
        <w:t>References</w:t>
      </w:r>
    </w:p>
    <w:p>
      <w:r>
        <w:rPr>
          <w:rFonts w:ascii="Times New Roman" w:hAnsi="Times New Roman"/>
          <w:sz w:val="20"/>
        </w:rPr>
        <w:t>1. Guyatt GH, Oxman AD, Vist GE, Kunz R, Falck-Ytter Y, Alonso-Coello P, et al. GRADE: an emerging consensus on rating quality of evidence and strength of recommendations. BMJ. 2008;336(7650):924-6.</w:t>
      </w:r>
    </w:p>
    <w:p>
      <w:r>
        <w:rPr>
          <w:rFonts w:ascii="Times New Roman" w:hAnsi="Times New Roman"/>
          <w:sz w:val="20"/>
        </w:rPr>
        <w:t>2. Concato J, Shah N, Horwitz RI. Randomized, controlled trials, observational studies, and the hierarchy of research designs. N Engl J Med. 2000;342(25):1887-92.</w:t>
      </w:r>
    </w:p>
    <w:p>
      <w:r>
        <w:rPr>
          <w:rFonts w:ascii="Times New Roman" w:hAnsi="Times New Roman"/>
          <w:sz w:val="20"/>
        </w:rPr>
        <w:t>3. Anglemyer A, Horvath HT, Bero L. Healthcare outcomes assessed with observational study designs compared with those assessed in randomized trials. Cochrane Database Syst Rev. 2014;(4):MR000034.</w:t>
      </w:r>
    </w:p>
    <w:p>
      <w:r>
        <w:rPr>
          <w:rFonts w:ascii="Times New Roman" w:hAnsi="Times New Roman"/>
          <w:sz w:val="20"/>
        </w:rPr>
        <w:t>4. Kennedy-Martin T, Curtis S, Faries D, Robinson S, Johnston J. A literature review on the representativeness of randomized controlled trial samples and implications for the external validity of trial results. Trials. 2015;16:495.</w:t>
      </w:r>
    </w:p>
    <w:p>
      <w:r>
        <w:rPr>
          <w:rFonts w:ascii="Times New Roman" w:hAnsi="Times New Roman"/>
          <w:sz w:val="20"/>
        </w:rPr>
        <w:t>5. Rothwell PM. External validity of randomised controlled trials: "to whom do the results of this trial apply?" Lancet. 2005;365(9453):82-93.</w:t>
      </w:r>
    </w:p>
    <w:p>
      <w:r>
        <w:rPr>
          <w:rFonts w:ascii="Times New Roman" w:hAnsi="Times New Roman"/>
          <w:sz w:val="20"/>
        </w:rPr>
        <w:t>6. Pogue JM, Yusuf S. Cumulating evidence from randomized trials: utilizing sequential monitoring boundaries for cumulative meta-analysis. Control Clin Trials. 1997;18(6):580-93.</w:t>
      </w:r>
    </w:p>
    <w:p>
      <w:r>
        <w:rPr>
          <w:rFonts w:ascii="Times New Roman" w:hAnsi="Times New Roman"/>
          <w:sz w:val="20"/>
        </w:rPr>
        <w:t>7. Wetterslev J, Thorlund K, Brok J, Gluud C. Estimating required information size by quantifying diversity in random-effects model meta-analyses. BMC Med Res Methodol. 2009;9:86.</w:t>
      </w:r>
    </w:p>
    <w:p>
      <w:r>
        <w:rPr>
          <w:rFonts w:ascii="Times New Roman" w:hAnsi="Times New Roman"/>
          <w:sz w:val="20"/>
        </w:rPr>
        <w:t>8. Brok J, Thorlund K, Gluud C, Wetterslev J. Trial sequential analysis reveals insufficient information size and potentially false positive results in many meta-analyses. J Clin Epidemiol. 2008;61(8):763-9.</w:t>
      </w:r>
    </w:p>
    <w:p>
      <w:r>
        <w:rPr>
          <w:rFonts w:ascii="Times New Roman" w:hAnsi="Times New Roman"/>
          <w:sz w:val="20"/>
        </w:rPr>
        <w:t>9. Thorlund K, Engstrom J, Wetterslev J, Brok J, Imberger G, Gluud C. User manual for trial sequential analysis (TSA). Copenhagen Trial Unit, Centre for Clinical Intervention Research; 2011.</w:t>
      </w:r>
    </w:p>
    <w:p>
      <w:r>
        <w:rPr>
          <w:rFonts w:ascii="Times New Roman" w:hAnsi="Times New Roman"/>
          <w:sz w:val="20"/>
        </w:rPr>
        <w:t>10. Morris TP, White IR, Crowther MJ. Using simulation studies to evaluate statistical methods. Stat Med. 2019;38(11):2074-102.</w:t>
      </w:r>
    </w:p>
    <w:p>
      <w:r>
        <w:rPr>
          <w:rFonts w:ascii="Times New Roman" w:hAnsi="Times New Roman"/>
          <w:sz w:val="20"/>
        </w:rPr>
        <w:t>11. Schoenfeld DA. Sample-size formula for the proportional-hazards regression model. Biometrics. 1983;39(2):499-503.</w:t>
      </w:r>
    </w:p>
    <w:p>
      <w:r>
        <w:rPr>
          <w:rFonts w:ascii="Times New Roman" w:hAnsi="Times New Roman"/>
          <w:sz w:val="20"/>
        </w:rPr>
        <w:t>12. McCaw ZR, Yin G, Wei LJ. Using the restricted mean survival time difference as an alternative to the hazard ratio for analyzing clinical cardiovascular studies. Circulation. 2019;140(17):1366-8. doi:10.1161/CIRCULATIONAHA.119.040680.</w:t>
      </w:r>
    </w:p>
    <w:p>
      <w:r>
        <w:rPr>
          <w:rFonts w:ascii="Times New Roman" w:hAnsi="Times New Roman"/>
          <w:sz w:val="20"/>
        </w:rPr>
        <w:t>13. Boyd AP, Kittelson JM, Gillen DL. Estimation of treatment effect under non-proportional hazards and conditionally independent censoring. Stat Med. 2012;31(28):3504-15. doi:10.1002/sim.5440.</w:t>
      </w:r>
    </w:p>
    <w:p>
      <w:r>
        <w:rPr>
          <w:rFonts w:ascii="Times New Roman" w:hAnsi="Times New Roman"/>
          <w:sz w:val="20"/>
        </w:rPr>
        <w:t>14. Sherry AD, Msaouel P, Kupferman GS, Lin TA, Abi Jaoude J, Kouzy R, et al. Evidence-based prior for estimating the treatment effect of phase III randomized trials in oncology. JCO Precis Oncol. 2024;8:e2400363. doi:10.1200/PO.24.00363.</w:t>
      </w:r>
    </w:p>
    <w:p>
      <w:r>
        <w:rPr>
          <w:rFonts w:ascii="Times New Roman" w:hAnsi="Times New Roman"/>
          <w:sz w:val="20"/>
        </w:rPr>
        <w:t>15. Ibrahim JG, Chen MH. Power prior distributions for regression models. Stat Sci. 2000;15(1):46-60.</w:t>
      </w:r>
    </w:p>
    <w:p>
      <w:r>
        <w:rPr>
          <w:rFonts w:ascii="Times New Roman" w:hAnsi="Times New Roman"/>
          <w:sz w:val="20"/>
        </w:rPr>
        <w:t>16. Teo KK, Yusuf S, Collins R, Held PH, Peto R. Effects of intravenous magnesium in suspected acute myocardial infarction: overview of randomised trials. BMJ. 1991;303(6816):1499-503.</w:t>
      </w:r>
    </w:p>
    <w:p>
      <w:r>
        <w:rPr>
          <w:rFonts w:ascii="Times New Roman" w:hAnsi="Times New Roman"/>
          <w:sz w:val="20"/>
        </w:rPr>
        <w:t>17. Li J, Zhang Q, Zhang M, Egger M. Intravenous magnesium for acute myocardial infarction. Cochrane Database Syst Rev. 2007;(2):CD002755.</w:t>
      </w:r>
    </w:p>
    <w:p>
      <w:r>
        <w:rPr>
          <w:rFonts w:ascii="Times New Roman" w:hAnsi="Times New Roman"/>
          <w:sz w:val="20"/>
        </w:rPr>
        <w:t>18. Anker SD, Clark AL, Winkler R, Zugck C, Cicoira M, Haehling S, et al. Statin use and survival in patients with chronic heart failure -- results from two observational studies with 5200 patients. Int J Cardiol. 2006;112(2):234-42.</w:t>
      </w:r>
    </w:p>
    <w:p>
      <w:r>
        <w:rPr>
          <w:rFonts w:ascii="Times New Roman" w:hAnsi="Times New Roman"/>
          <w:sz w:val="20"/>
        </w:rPr>
        <w:t>19. Mozaffarian D, Nye R, Levy WC. Statin therapy is associated with lower mortality among patients with severe heart failure. Am J Cardiol. 2004;93(9):1124-9.</w:t>
      </w:r>
    </w:p>
    <w:p>
      <w:r>
        <w:rPr>
          <w:rFonts w:ascii="Times New Roman" w:hAnsi="Times New Roman"/>
          <w:sz w:val="20"/>
        </w:rPr>
        <w:t>20. Horwich TB, MacLellan WR, Fonarow GC. Statin therapy is associated with improved survival in ischemic and non-ischemic heart failure. J Am Coll Cardiol. 2004;43(4):642-8.</w:t>
      </w:r>
    </w:p>
    <w:p>
      <w:r>
        <w:rPr>
          <w:rFonts w:ascii="Times New Roman" w:hAnsi="Times New Roman"/>
          <w:sz w:val="20"/>
        </w:rPr>
        <w:t>21. Go AS, Lee WY, Yang J, Lo JC, Gurwitz JH. Statin therapy and risks for death and hospitalization in chronic heart failure. JAMA. 2006;296(17):2105-11.</w:t>
      </w:r>
    </w:p>
    <w:p>
      <w:r>
        <w:rPr>
          <w:rFonts w:ascii="Times New Roman" w:hAnsi="Times New Roman"/>
          <w:sz w:val="20"/>
        </w:rPr>
        <w:t>22. Foody JM, Shah R, Galusha D, Masoudi FA, Havranek EP, Krumholz HM. Statins and mortality among elderly patients hospitalized with heart failure. Circulation. 2006;113(8):1086-92.</w:t>
      </w:r>
    </w:p>
    <w:p>
      <w:r>
        <w:rPr>
          <w:rFonts w:ascii="Times New Roman" w:hAnsi="Times New Roman"/>
          <w:sz w:val="20"/>
        </w:rPr>
        <w:t>23. Kjekshus J, Apetrei E, Barrios V, Bohm M, Cleland JG, Cornel JH, et al. Rosuvastatin in older patients with systolic heart failure. N Engl J Med. 2007;357(22):2248-61.</w:t>
      </w:r>
    </w:p>
    <w:p>
      <w:r>
        <w:rPr>
          <w:rFonts w:ascii="Times New Roman" w:hAnsi="Times New Roman"/>
          <w:sz w:val="20"/>
        </w:rPr>
        <w:t>24. GISSI-HF Investigators. Effect of rosuvastatin in patients with chronic heart failure (the GISSI-HF trial): a randomised, double-blind, placebo-controlled trial. Lancet. 2008;372(9645):1231-9.</w:t>
      </w:r>
    </w:p>
    <w:p>
      <w:r>
        <w:rPr>
          <w:rFonts w:ascii="Times New Roman" w:hAnsi="Times New Roman"/>
          <w:sz w:val="20"/>
        </w:rPr>
        <w:t>25. Hernan MA, Robins JM. Using big data to emulate a target trial when a randomized trial is not available. Am J Epidemiol. 2016;183(8):758-64.</w:t>
      </w:r>
    </w:p>
    <w:p>
      <w:r>
        <w:rPr>
          <w:rFonts w:ascii="Times New Roman" w:hAnsi="Times New Roman"/>
          <w:sz w:val="20"/>
        </w:rPr>
        <w:t>26. Hernan MA, Wang W, Leaf DE. Target trial emulation: a framework for causal inference from observational data. JAMA. 2022;328(24):2446-7.</w:t>
      </w:r>
    </w:p>
    <w:p>
      <w:r>
        <w:rPr>
          <w:rFonts w:ascii="Times New Roman" w:hAnsi="Times New Roman"/>
          <w:sz w:val="20"/>
        </w:rPr>
        <w:t>27. Schmidli H, Gsteiger S, Roychoudhury S, O'Hagan A, Spiegelhalter D, Neuenschwander B. Robust meta-analytic-predictive priors in clinical trials with historical control information. Biometrics. 2014;70(4):1023-32.</w:t>
      </w:r>
    </w:p>
    <w:p>
      <w:r>
        <w:rPr>
          <w:rFonts w:ascii="Times New Roman" w:hAnsi="Times New Roman"/>
          <w:sz w:val="20"/>
        </w:rPr>
        <w:t>28. Verde PE, Ohmann C. Combining randomized and non-randomized evidence in clinical research: a review of methods and applications. Res Synth Methods. 2015;6(1):45-62.</w:t>
      </w:r>
    </w:p>
    <w:p>
      <w:r>
        <w:rPr>
          <w:rFonts w:ascii="Times New Roman" w:hAnsi="Times New Roman"/>
          <w:sz w:val="20"/>
        </w:rPr>
        <w:t>29. Efthimiou O, Mavridis D, Debray TPA, Samara M, Belger M, Salanti G, et al. Combining randomized and non-randomized evidence in network meta-analysis. Stat Med. 2017;36(8):1210-26.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